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0B2" w14:textId="77777777"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3CB18A1F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224D2040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77777777" w:rsidR="00823F4C" w:rsidRPr="00A31CC1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560A" w14:textId="0DEAEC60" w:rsidR="00132B98" w:rsidRPr="00DB4923" w:rsidRDefault="00132B98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5.1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Data :  </w:t>
                            </w:r>
                            <w:r w:rsidR="00AC0DDE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25/07/2025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14:paraId="3F15560A" w14:textId="0DEAEC60" w:rsidR="00132B98" w:rsidRPr="00DB4923" w:rsidRDefault="00132B98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5.1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Data :  </w:t>
                      </w:r>
                      <w:r w:rsidR="00AC0DDE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25/07/2025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A31CC1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2D26E3F" w14:textId="77777777" w:rsidR="00823F4C" w:rsidRPr="00E022BA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E022BA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E00A993" w14:textId="77C054B3" w:rsidR="00BF7A42" w:rsidRPr="00E022BA" w:rsidRDefault="00524E78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proofErr w:type="spellStart"/>
      <w:r w:rsidRPr="00E022BA">
        <w:rPr>
          <w:rFonts w:cstheme="minorHAnsi"/>
          <w:b/>
          <w:sz w:val="24"/>
          <w:szCs w:val="24"/>
        </w:rPr>
        <w:t>Zopiclone</w:t>
      </w:r>
      <w:proofErr w:type="spellEnd"/>
      <w:r w:rsidRPr="00E022BA">
        <w:rPr>
          <w:rFonts w:cstheme="minorHAnsi"/>
          <w:b/>
          <w:sz w:val="24"/>
          <w:szCs w:val="24"/>
        </w:rPr>
        <w:t xml:space="preserve"> </w:t>
      </w:r>
      <w:proofErr w:type="spellStart"/>
      <w:r w:rsidRPr="00E022BA">
        <w:rPr>
          <w:rFonts w:cstheme="minorHAnsi"/>
          <w:b/>
          <w:sz w:val="24"/>
          <w:szCs w:val="24"/>
        </w:rPr>
        <w:t>Olpha</w:t>
      </w:r>
      <w:proofErr w:type="spellEnd"/>
    </w:p>
    <w:p w14:paraId="5A764497" w14:textId="77777777" w:rsidR="004609F8" w:rsidRPr="00E022BA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06324D0B" w14:textId="1E271C88" w:rsidR="004241AC" w:rsidRPr="00E022BA" w:rsidRDefault="004241AC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E022BA">
        <w:rPr>
          <w:rFonts w:cstheme="minorHAnsi"/>
          <w:snapToGrid w:val="0"/>
          <w:sz w:val="24"/>
          <w:szCs w:val="24"/>
        </w:rPr>
        <w:t>(</w:t>
      </w:r>
      <w:proofErr w:type="spellStart"/>
      <w:r w:rsidR="00524E78" w:rsidRPr="00E022BA">
        <w:rPr>
          <w:rFonts w:cstheme="minorHAnsi"/>
          <w:snapToGrid w:val="0"/>
          <w:sz w:val="24"/>
          <w:szCs w:val="24"/>
        </w:rPr>
        <w:t>Zopiclone</w:t>
      </w:r>
      <w:proofErr w:type="spellEnd"/>
      <w:r w:rsidR="00524E78" w:rsidRPr="00E022BA">
        <w:rPr>
          <w:rFonts w:cstheme="minorHAnsi"/>
          <w:snapToGrid w:val="0"/>
          <w:sz w:val="24"/>
          <w:szCs w:val="24"/>
        </w:rPr>
        <w:t xml:space="preserve">, </w:t>
      </w:r>
      <w:r w:rsidR="00524E78" w:rsidRPr="00E022BA">
        <w:rPr>
          <w:rFonts w:cs="Calibri"/>
        </w:rPr>
        <w:t>compresse rivestite con film, 3,75 mg e 7,5 mg)</w:t>
      </w:r>
    </w:p>
    <w:p w14:paraId="52C25FF5" w14:textId="77777777" w:rsidR="004241AC" w:rsidRPr="00E022BA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5E8265B" w14:textId="77777777" w:rsidR="004609F8" w:rsidRPr="00E022BA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6141733" w14:textId="1C02D4AB" w:rsidR="00797416" w:rsidRPr="00E022BA" w:rsidRDefault="00E022BA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proofErr w:type="spellStart"/>
      <w:r w:rsidRPr="00E022BA">
        <w:rPr>
          <w:rFonts w:cstheme="minorHAnsi"/>
          <w:b/>
          <w:sz w:val="24"/>
          <w:szCs w:val="24"/>
        </w:rPr>
        <w:t>Olpha</w:t>
      </w:r>
      <w:proofErr w:type="spellEnd"/>
      <w:r w:rsidRPr="00E022BA">
        <w:rPr>
          <w:rFonts w:cstheme="minorHAnsi"/>
          <w:b/>
          <w:sz w:val="24"/>
          <w:szCs w:val="24"/>
        </w:rPr>
        <w:t xml:space="preserve"> AS</w:t>
      </w:r>
    </w:p>
    <w:p w14:paraId="3BCAC476" w14:textId="4C81B872" w:rsidR="00EC3589" w:rsidRDefault="00EC358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33DC1D5" w14:textId="4FA02180" w:rsidR="002B4664" w:rsidRDefault="002B4664" w:rsidP="002B466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IT/H/0951/001-002/DC</w:t>
      </w:r>
    </w:p>
    <w:p w14:paraId="6CDFC0E6" w14:textId="77777777" w:rsidR="004609F8" w:rsidRPr="00E022BA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EF8362F" w14:textId="4AA7D190" w:rsidR="004241AC" w:rsidRPr="00E022BA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E022BA">
        <w:rPr>
          <w:rFonts w:cstheme="minorHAnsi"/>
          <w:b/>
          <w:sz w:val="24"/>
          <w:szCs w:val="24"/>
        </w:rPr>
        <w:t xml:space="preserve">Numero di AIC: </w:t>
      </w:r>
      <w:r w:rsidR="00E022BA" w:rsidRPr="00E022BA">
        <w:rPr>
          <w:rFonts w:cstheme="minorHAnsi"/>
          <w:b/>
          <w:sz w:val="24"/>
          <w:szCs w:val="24"/>
        </w:rPr>
        <w:t>051078</w:t>
      </w:r>
    </w:p>
    <w:p w14:paraId="73438203" w14:textId="77777777" w:rsidR="00797416" w:rsidRPr="00E022BA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7FDF9E3A" w14:textId="77777777" w:rsidR="004241AC" w:rsidRPr="00E022BA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C62210" w14:textId="77777777" w:rsidR="004E5A39" w:rsidRPr="00E022BA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E022BA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it-IT"/>
        </w:rPr>
      </w:pPr>
      <w:r w:rsidRPr="00E022BA">
        <w:rPr>
          <w:rFonts w:eastAsia="Calibri" w:cstheme="minorHAnsi"/>
          <w:b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E022BA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1C1FE70F" w14:textId="501B3B56" w:rsidR="00BB2AF8" w:rsidRPr="00E022BA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E022BA">
        <w:rPr>
          <w:rFonts w:eastAsia="Calibri" w:cstheme="minorHAnsi"/>
          <w:sz w:val="24"/>
          <w:szCs w:val="24"/>
          <w:lang w:eastAsia="it-IT"/>
        </w:rPr>
        <w:t xml:space="preserve">Questa è la sintesi del </w:t>
      </w:r>
      <w:r w:rsidRPr="00E022BA">
        <w:rPr>
          <w:rFonts w:eastAsia="Calibri" w:cstheme="minorHAnsi"/>
          <w:i/>
          <w:sz w:val="24"/>
          <w:szCs w:val="24"/>
          <w:lang w:eastAsia="it-IT"/>
        </w:rPr>
        <w:t>Public Assessment Report</w:t>
      </w:r>
      <w:r w:rsidRPr="00E022BA">
        <w:rPr>
          <w:rFonts w:eastAsia="Calibri" w:cstheme="minorHAnsi"/>
          <w:sz w:val="24"/>
          <w:szCs w:val="24"/>
          <w:lang w:eastAsia="it-IT"/>
        </w:rPr>
        <w:t xml:space="preserve"> (PAR) per </w:t>
      </w:r>
      <w:proofErr w:type="spellStart"/>
      <w:r w:rsidR="00E022BA" w:rsidRPr="00E022BA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E022BA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E022BA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Pr="00E022BA">
        <w:rPr>
          <w:rFonts w:eastAsia="Calibri" w:cstheme="minorHAnsi"/>
          <w:sz w:val="24"/>
          <w:szCs w:val="24"/>
          <w:lang w:eastAsia="it-IT"/>
        </w:rPr>
        <w:t>.</w:t>
      </w:r>
      <w:r w:rsidRPr="00E022BA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6C0722" w:rsidRPr="00E022BA">
        <w:rPr>
          <w:rFonts w:eastAsia="Calibri" w:cstheme="minorHAnsi"/>
          <w:bCs/>
          <w:sz w:val="24"/>
          <w:szCs w:val="24"/>
          <w:lang w:eastAsia="it-IT"/>
        </w:rPr>
        <w:t xml:space="preserve">In </w:t>
      </w:r>
      <w:r w:rsidR="006C0722" w:rsidRPr="00E022BA">
        <w:rPr>
          <w:rFonts w:eastAsia="Calibri" w:cstheme="minorHAnsi"/>
          <w:sz w:val="24"/>
          <w:szCs w:val="24"/>
          <w:lang w:eastAsia="it-IT"/>
        </w:rPr>
        <w:t>e</w:t>
      </w:r>
      <w:r w:rsidRPr="00E022BA">
        <w:rPr>
          <w:rFonts w:eastAsia="Calibri" w:cstheme="minorHAnsi"/>
          <w:sz w:val="24"/>
          <w:szCs w:val="24"/>
          <w:lang w:eastAsia="it-IT"/>
        </w:rPr>
        <w:t xml:space="preserve">sso </w:t>
      </w:r>
      <w:r w:rsidR="006C0722" w:rsidRPr="00E022BA">
        <w:rPr>
          <w:rFonts w:eastAsia="Calibri" w:cstheme="minorHAnsi"/>
          <w:sz w:val="24"/>
          <w:szCs w:val="24"/>
          <w:lang w:eastAsia="it-IT"/>
        </w:rPr>
        <w:t xml:space="preserve">viene </w:t>
      </w:r>
      <w:r w:rsidRPr="00E022BA">
        <w:rPr>
          <w:rFonts w:eastAsia="Calibri" w:cstheme="minorHAnsi"/>
          <w:sz w:val="24"/>
          <w:szCs w:val="24"/>
          <w:lang w:eastAsia="it-IT"/>
        </w:rPr>
        <w:t>spiega</w:t>
      </w:r>
      <w:r w:rsidR="006C0722" w:rsidRPr="00E022BA">
        <w:rPr>
          <w:rFonts w:eastAsia="Calibri" w:cstheme="minorHAnsi"/>
          <w:sz w:val="24"/>
          <w:szCs w:val="24"/>
          <w:lang w:eastAsia="it-IT"/>
        </w:rPr>
        <w:t>to</w:t>
      </w:r>
      <w:r w:rsidRPr="00E022BA">
        <w:rPr>
          <w:rFonts w:eastAsia="Calibri" w:cstheme="minorHAnsi"/>
          <w:sz w:val="24"/>
          <w:szCs w:val="24"/>
          <w:lang w:eastAsia="it-IT"/>
        </w:rPr>
        <w:t xml:space="preserve"> come </w:t>
      </w:r>
      <w:proofErr w:type="spellStart"/>
      <w:r w:rsidR="00E022BA" w:rsidRPr="00E022BA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E022BA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E022BA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Pr="00E022BA">
        <w:rPr>
          <w:rFonts w:eastAsia="Calibri" w:cstheme="minorHAnsi"/>
          <w:sz w:val="24"/>
          <w:szCs w:val="24"/>
          <w:lang w:eastAsia="it-IT"/>
        </w:rPr>
        <w:t xml:space="preserve"> è stato valutato </w:t>
      </w:r>
      <w:r w:rsidR="000C1389" w:rsidRPr="00E022BA">
        <w:rPr>
          <w:rFonts w:eastAsia="Calibri" w:cstheme="minorHAnsi"/>
          <w:sz w:val="24"/>
          <w:szCs w:val="24"/>
          <w:lang w:eastAsia="it-IT"/>
        </w:rPr>
        <w:t>dall’AIFA</w:t>
      </w:r>
      <w:r w:rsidRPr="00E022BA">
        <w:rPr>
          <w:rFonts w:eastAsia="Calibri" w:cstheme="minorHAnsi"/>
          <w:sz w:val="24"/>
          <w:szCs w:val="24"/>
          <w:lang w:eastAsia="it-IT"/>
        </w:rPr>
        <w:t xml:space="preserve"> e</w:t>
      </w:r>
      <w:r w:rsidR="006C0722" w:rsidRPr="00E022BA">
        <w:rPr>
          <w:rFonts w:eastAsia="Calibri" w:cstheme="minorHAnsi"/>
          <w:sz w:val="24"/>
          <w:szCs w:val="24"/>
          <w:lang w:eastAsia="it-IT"/>
        </w:rPr>
        <w:t xml:space="preserve"> quali sono</w:t>
      </w:r>
      <w:r w:rsidRPr="00E022BA">
        <w:rPr>
          <w:rFonts w:eastAsia="Calibri" w:cstheme="minorHAnsi"/>
          <w:sz w:val="24"/>
          <w:szCs w:val="24"/>
          <w:lang w:eastAsia="it-IT"/>
        </w:rPr>
        <w:t xml:space="preserve"> le sue condizioni di impiego. </w:t>
      </w:r>
      <w:r w:rsidR="006C0722" w:rsidRPr="00E022BA">
        <w:rPr>
          <w:rFonts w:eastAsia="Calibri" w:cstheme="minorHAnsi"/>
          <w:sz w:val="24"/>
          <w:szCs w:val="24"/>
          <w:lang w:eastAsia="it-IT"/>
        </w:rPr>
        <w:t>Il documento n</w:t>
      </w:r>
      <w:r w:rsidRPr="00E022BA">
        <w:rPr>
          <w:rFonts w:eastAsia="Calibri" w:cstheme="minorHAnsi"/>
          <w:sz w:val="24"/>
          <w:szCs w:val="24"/>
          <w:lang w:eastAsia="it-IT"/>
        </w:rPr>
        <w:t xml:space="preserve">on intende fornire consigli pratici su come utilizzare </w:t>
      </w:r>
      <w:proofErr w:type="spellStart"/>
      <w:r w:rsidR="00E022BA" w:rsidRPr="00E022BA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E022BA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E022BA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Pr="00E022BA">
        <w:rPr>
          <w:rFonts w:eastAsia="Calibri" w:cstheme="minorHAnsi"/>
          <w:bCs/>
          <w:sz w:val="24"/>
          <w:szCs w:val="24"/>
          <w:lang w:eastAsia="it-IT"/>
        </w:rPr>
        <w:t>.</w:t>
      </w:r>
    </w:p>
    <w:p w14:paraId="0EEFEE30" w14:textId="0DDADFE8" w:rsidR="00BB2AF8" w:rsidRPr="00E022BA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E022BA">
        <w:rPr>
          <w:rFonts w:eastAsia="Calibri" w:cstheme="minorHAnsi"/>
          <w:sz w:val="24"/>
          <w:szCs w:val="24"/>
          <w:lang w:eastAsia="it-IT"/>
        </w:rPr>
        <w:t>Per informazioni pratiche sull'utilizzo di</w:t>
      </w:r>
      <w:r w:rsidRPr="00E022BA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proofErr w:type="spellStart"/>
      <w:r w:rsidR="00E022BA" w:rsidRPr="00E022BA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E022BA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E022BA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6C0722" w:rsidRPr="00E022BA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E022BA">
        <w:rPr>
          <w:rFonts w:eastAsia="Calibri" w:cstheme="minorHAnsi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259162B5" w14:textId="77777777" w:rsidR="00BB2AF8" w:rsidRPr="00E022BA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584873B" w14:textId="77777777" w:rsidR="00BB2AF8" w:rsidRPr="00E022BA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44B53A" w14:textId="5F77372E" w:rsidR="00BB2AF8" w:rsidRPr="00E022BA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sz w:val="24"/>
          <w:szCs w:val="24"/>
          <w:lang w:eastAsia="it-IT"/>
        </w:rPr>
      </w:pPr>
      <w:r w:rsidRPr="00E022BA">
        <w:rPr>
          <w:rFonts w:eastAsia="Calibri" w:cstheme="minorHAnsi"/>
          <w:b/>
          <w:bCs/>
          <w:sz w:val="24"/>
          <w:szCs w:val="24"/>
          <w:lang w:eastAsia="it-IT"/>
        </w:rPr>
        <w:t xml:space="preserve">1) COS’È </w:t>
      </w:r>
      <w:proofErr w:type="spellStart"/>
      <w:r w:rsidR="00E022BA" w:rsidRPr="00E022BA">
        <w:rPr>
          <w:rFonts w:eastAsia="Calibri" w:cstheme="minorHAnsi"/>
          <w:b/>
          <w:sz w:val="24"/>
          <w:szCs w:val="24"/>
          <w:lang w:eastAsia="it-IT"/>
        </w:rPr>
        <w:t>Zopiclone</w:t>
      </w:r>
      <w:proofErr w:type="spellEnd"/>
      <w:r w:rsidR="00E022BA" w:rsidRPr="00E022BA">
        <w:rPr>
          <w:rFonts w:eastAsia="Calibri" w:cstheme="minorHAnsi"/>
          <w:b/>
          <w:sz w:val="24"/>
          <w:szCs w:val="24"/>
          <w:lang w:eastAsia="it-IT"/>
        </w:rPr>
        <w:t xml:space="preserve"> </w:t>
      </w:r>
      <w:proofErr w:type="spellStart"/>
      <w:r w:rsidR="00E022BA" w:rsidRPr="00E022BA">
        <w:rPr>
          <w:rFonts w:eastAsia="Calibri" w:cstheme="minorHAnsi"/>
          <w:b/>
          <w:sz w:val="24"/>
          <w:szCs w:val="24"/>
          <w:lang w:eastAsia="it-IT"/>
        </w:rPr>
        <w:t>Olpha</w:t>
      </w:r>
      <w:proofErr w:type="spellEnd"/>
      <w:r w:rsidR="00797416" w:rsidRPr="00E022BA">
        <w:rPr>
          <w:rFonts w:eastAsia="Calibri" w:cstheme="minorHAnsi"/>
          <w:b/>
          <w:sz w:val="24"/>
          <w:szCs w:val="24"/>
          <w:lang w:eastAsia="it-IT"/>
        </w:rPr>
        <w:t xml:space="preserve"> </w:t>
      </w:r>
      <w:r w:rsidRPr="00E022BA">
        <w:rPr>
          <w:rFonts w:eastAsia="Calibri" w:cstheme="minorHAnsi"/>
          <w:b/>
          <w:bCs/>
          <w:sz w:val="24"/>
          <w:szCs w:val="24"/>
          <w:lang w:eastAsia="it-IT"/>
        </w:rPr>
        <w:t xml:space="preserve">E A COSA SERVE? </w:t>
      </w:r>
    </w:p>
    <w:p w14:paraId="5EE96742" w14:textId="561F7AFF" w:rsidR="00797416" w:rsidRPr="00E022BA" w:rsidRDefault="00E022BA" w:rsidP="00BB2AF8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proofErr w:type="spellStart"/>
      <w:r w:rsidRPr="00E022BA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E022BA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E022BA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797416" w:rsidRPr="00E022BA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E022BA">
        <w:rPr>
          <w:rFonts w:eastAsia="Calibri" w:cstheme="minorHAnsi"/>
          <w:sz w:val="24"/>
          <w:szCs w:val="24"/>
          <w:lang w:eastAsia="it-IT"/>
        </w:rPr>
        <w:t>è un medicinale</w:t>
      </w:r>
      <w:r w:rsidR="009565BA" w:rsidRPr="00E022BA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E022BA">
        <w:rPr>
          <w:rFonts w:eastAsia="Calibri" w:cstheme="minorHAnsi"/>
          <w:sz w:val="24"/>
          <w:szCs w:val="24"/>
          <w:lang w:eastAsia="it-IT"/>
        </w:rPr>
        <w:t xml:space="preserve">contenente il principio attivo </w:t>
      </w:r>
      <w:proofErr w:type="spellStart"/>
      <w:r w:rsidRPr="00E022BA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797416" w:rsidRPr="00E022BA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E022BA">
        <w:rPr>
          <w:rFonts w:eastAsia="Calibri" w:cstheme="minorHAnsi"/>
          <w:sz w:val="24"/>
          <w:szCs w:val="24"/>
          <w:lang w:eastAsia="it-IT"/>
        </w:rPr>
        <w:t xml:space="preserve">ed </w:t>
      </w:r>
      <w:r w:rsidR="00797416" w:rsidRPr="00E022BA">
        <w:rPr>
          <w:rFonts w:eastAsia="Calibri" w:cstheme="minorHAnsi"/>
          <w:sz w:val="24"/>
          <w:szCs w:val="24"/>
          <w:lang w:eastAsia="it-IT"/>
        </w:rPr>
        <w:t>è disponibile come:</w:t>
      </w:r>
    </w:p>
    <w:p w14:paraId="3B2B2C1D" w14:textId="50CF09A8" w:rsidR="00797416" w:rsidRPr="00E022BA" w:rsidRDefault="00E022BA" w:rsidP="00BB2AF8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E022BA">
        <w:rPr>
          <w:rFonts w:eastAsia="Calibri" w:cstheme="minorHAnsi"/>
          <w:sz w:val="24"/>
          <w:szCs w:val="24"/>
          <w:lang w:eastAsia="it-IT"/>
        </w:rPr>
        <w:t xml:space="preserve">compresse rivestite con film </w:t>
      </w:r>
      <w:r w:rsidR="00BB2AF8" w:rsidRPr="00E022BA">
        <w:rPr>
          <w:rFonts w:eastAsia="Calibri" w:cstheme="minorHAnsi"/>
          <w:sz w:val="24"/>
          <w:szCs w:val="24"/>
          <w:lang w:eastAsia="it-IT"/>
        </w:rPr>
        <w:t>contenent</w:t>
      </w:r>
      <w:r w:rsidR="00797416" w:rsidRPr="00E022BA">
        <w:rPr>
          <w:rFonts w:eastAsia="Calibri" w:cstheme="minorHAnsi"/>
          <w:sz w:val="24"/>
          <w:szCs w:val="24"/>
          <w:lang w:eastAsia="it-IT"/>
        </w:rPr>
        <w:t>i</w:t>
      </w:r>
      <w:r w:rsidR="00BB2AF8" w:rsidRPr="00E022BA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E022BA">
        <w:rPr>
          <w:rFonts w:eastAsia="Calibri" w:cstheme="minorHAnsi"/>
          <w:sz w:val="24"/>
          <w:szCs w:val="24"/>
          <w:lang w:eastAsia="it-IT"/>
        </w:rPr>
        <w:t>3,75 mg e 7,5 mg</w:t>
      </w:r>
      <w:r w:rsidR="00797416" w:rsidRPr="00E022BA">
        <w:rPr>
          <w:rFonts w:eastAsia="Calibri" w:cstheme="minorHAnsi"/>
          <w:sz w:val="24"/>
          <w:szCs w:val="24"/>
          <w:lang w:eastAsia="it-IT"/>
        </w:rPr>
        <w:t xml:space="preserve"> di</w:t>
      </w:r>
      <w:r w:rsidR="00BB2AF8" w:rsidRPr="00E022BA">
        <w:rPr>
          <w:rFonts w:eastAsia="Calibri" w:cstheme="minorHAnsi"/>
          <w:sz w:val="24"/>
          <w:szCs w:val="24"/>
          <w:lang w:eastAsia="it-IT"/>
        </w:rPr>
        <w:t xml:space="preserve"> principio attivo</w:t>
      </w:r>
      <w:r w:rsidR="00797416" w:rsidRPr="00E022BA">
        <w:rPr>
          <w:rFonts w:eastAsia="Calibri" w:cstheme="minorHAnsi"/>
          <w:sz w:val="24"/>
          <w:szCs w:val="24"/>
          <w:lang w:eastAsia="it-IT"/>
        </w:rPr>
        <w:t>;</w:t>
      </w:r>
    </w:p>
    <w:p w14:paraId="06E45D9F" w14:textId="77777777" w:rsidR="00132B98" w:rsidRPr="006F2065" w:rsidRDefault="00132B98" w:rsidP="00BB2AF8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2ACAD7E3" w14:textId="0BE4C826" w:rsidR="00B03E01" w:rsidRPr="006F2065" w:rsidRDefault="00E022BA" w:rsidP="00B03E0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proofErr w:type="spellStart"/>
      <w:r w:rsidRPr="006F2065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6F2065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6F2065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797416" w:rsidRPr="006F2065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6F2065">
        <w:rPr>
          <w:rFonts w:eastAsia="Calibri" w:cstheme="minorHAnsi"/>
          <w:sz w:val="24"/>
          <w:szCs w:val="24"/>
          <w:lang w:eastAsia="it-IT"/>
        </w:rPr>
        <w:t xml:space="preserve">è un “medicinale generico”, cioè è analogo ad un “medicinale di riferimento”, </w:t>
      </w:r>
      <w:proofErr w:type="spellStart"/>
      <w:r w:rsidR="006F2065" w:rsidRPr="006F2065">
        <w:rPr>
          <w:rFonts w:eastAsia="Calibri" w:cstheme="minorHAnsi"/>
          <w:sz w:val="24"/>
          <w:szCs w:val="24"/>
          <w:lang w:eastAsia="it-IT"/>
        </w:rPr>
        <w:t>Imovane</w:t>
      </w:r>
      <w:proofErr w:type="spellEnd"/>
      <w:r w:rsidR="00797416" w:rsidRPr="006F2065">
        <w:rPr>
          <w:rFonts w:eastAsia="Calibri" w:cstheme="minorHAnsi"/>
          <w:sz w:val="24"/>
          <w:szCs w:val="24"/>
          <w:lang w:eastAsia="it-IT"/>
        </w:rPr>
        <w:t xml:space="preserve">, </w:t>
      </w:r>
      <w:r w:rsidR="00C058E1" w:rsidRPr="006F2065">
        <w:rPr>
          <w:rFonts w:eastAsia="Calibri" w:cstheme="minorHAnsi"/>
          <w:sz w:val="24"/>
          <w:szCs w:val="24"/>
          <w:lang w:eastAsia="it-IT"/>
        </w:rPr>
        <w:t>autorizzato</w:t>
      </w:r>
      <w:r w:rsidR="006F2065" w:rsidRPr="006F2065">
        <w:rPr>
          <w:rFonts w:eastAsia="Calibri" w:cstheme="minorHAnsi"/>
          <w:sz w:val="24"/>
          <w:szCs w:val="24"/>
          <w:lang w:eastAsia="it-IT"/>
        </w:rPr>
        <w:t xml:space="preserve"> </w:t>
      </w:r>
      <w:r w:rsidR="00F76F77" w:rsidRPr="006F2065">
        <w:rPr>
          <w:rFonts w:eastAsia="Calibri" w:cstheme="minorHAnsi"/>
          <w:sz w:val="24"/>
          <w:szCs w:val="24"/>
          <w:u w:val="single"/>
          <w:lang w:eastAsia="it-IT"/>
        </w:rPr>
        <w:t>in Italia</w:t>
      </w:r>
      <w:r w:rsidR="00A84362" w:rsidRPr="006F2065">
        <w:rPr>
          <w:rFonts w:eastAsia="Calibri" w:cstheme="minorHAnsi"/>
          <w:sz w:val="24"/>
          <w:szCs w:val="24"/>
          <w:u w:val="single"/>
          <w:lang w:eastAsia="it-IT"/>
        </w:rPr>
        <w:t xml:space="preserve"> </w:t>
      </w:r>
      <w:r w:rsidR="00B03E01" w:rsidRPr="006F2065">
        <w:rPr>
          <w:rFonts w:eastAsia="Calibri" w:cstheme="minorHAnsi"/>
          <w:sz w:val="24"/>
          <w:szCs w:val="24"/>
          <w:u w:val="single"/>
          <w:lang w:eastAsia="it-IT"/>
        </w:rPr>
        <w:t xml:space="preserve">da </w:t>
      </w:r>
      <w:r w:rsidR="00CC1489" w:rsidRPr="006F2065">
        <w:rPr>
          <w:rFonts w:eastAsia="Calibri" w:cstheme="minorHAnsi"/>
          <w:sz w:val="24"/>
          <w:szCs w:val="24"/>
          <w:u w:val="single"/>
          <w:lang w:eastAsia="it-IT"/>
        </w:rPr>
        <w:t>almeno 8 anni</w:t>
      </w:r>
      <w:r w:rsidR="006F2065" w:rsidRPr="006F2065">
        <w:rPr>
          <w:rFonts w:eastAsia="Calibri" w:cstheme="minorHAnsi"/>
          <w:sz w:val="24"/>
          <w:szCs w:val="24"/>
          <w:u w:val="single"/>
          <w:lang w:eastAsia="it-IT"/>
        </w:rPr>
        <w:t xml:space="preserve"> (per il dosaggio da 7,5 mg) e </w:t>
      </w:r>
      <w:r w:rsidR="008C3877" w:rsidRPr="006F2065">
        <w:rPr>
          <w:rFonts w:eastAsia="Calibri" w:cstheme="minorHAnsi"/>
          <w:sz w:val="24"/>
          <w:szCs w:val="24"/>
          <w:lang w:eastAsia="it-IT"/>
        </w:rPr>
        <w:t>nell’Unione Europea</w:t>
      </w:r>
      <w:r w:rsidR="00F67DFC" w:rsidRPr="006F2065">
        <w:rPr>
          <w:rFonts w:eastAsia="Calibri" w:cstheme="minorHAnsi"/>
          <w:sz w:val="24"/>
          <w:szCs w:val="24"/>
          <w:lang w:eastAsia="it-IT"/>
        </w:rPr>
        <w:t xml:space="preserve"> nello Stato di</w:t>
      </w:r>
      <w:r w:rsidR="006F2065" w:rsidRPr="006F2065">
        <w:rPr>
          <w:rFonts w:eastAsia="Calibri" w:cstheme="minorHAnsi"/>
          <w:sz w:val="24"/>
          <w:szCs w:val="24"/>
          <w:lang w:eastAsia="it-IT"/>
        </w:rPr>
        <w:t xml:space="preserve"> Francia </w:t>
      </w:r>
      <w:r w:rsidR="00F67DFC" w:rsidRPr="006F2065">
        <w:rPr>
          <w:rFonts w:eastAsia="Calibri" w:cstheme="minorHAnsi"/>
          <w:sz w:val="24"/>
          <w:szCs w:val="24"/>
          <w:u w:val="single"/>
          <w:lang w:eastAsia="it-IT"/>
        </w:rPr>
        <w:t xml:space="preserve">da </w:t>
      </w:r>
      <w:r w:rsidR="00DC187E" w:rsidRPr="006F2065">
        <w:rPr>
          <w:rFonts w:eastAsia="Calibri" w:cstheme="minorHAnsi"/>
          <w:sz w:val="24"/>
          <w:szCs w:val="24"/>
          <w:u w:val="single"/>
          <w:lang w:eastAsia="it-IT"/>
        </w:rPr>
        <w:t>almeno 8 anni</w:t>
      </w:r>
      <w:r w:rsidR="006F2065" w:rsidRPr="006F2065">
        <w:rPr>
          <w:rFonts w:eastAsia="Calibri" w:cstheme="minorHAnsi"/>
          <w:sz w:val="24"/>
          <w:szCs w:val="24"/>
          <w:u w:val="single"/>
          <w:lang w:eastAsia="it-IT"/>
        </w:rPr>
        <w:t xml:space="preserve"> per il dosaggio da 3,75 mg</w:t>
      </w:r>
      <w:r w:rsidR="00B03E01" w:rsidRPr="006F2065">
        <w:rPr>
          <w:rFonts w:eastAsia="Calibri" w:cstheme="minorHAnsi"/>
          <w:sz w:val="24"/>
          <w:szCs w:val="24"/>
          <w:u w:val="single"/>
          <w:lang w:eastAsia="it-IT"/>
        </w:rPr>
        <w:t xml:space="preserve">. </w:t>
      </w:r>
      <w:proofErr w:type="spellStart"/>
      <w:r w:rsidRPr="006F2065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6F2065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6F2065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B15135" w:rsidRPr="006F2065">
        <w:rPr>
          <w:rFonts w:eastAsia="Calibri" w:cstheme="minorHAnsi"/>
          <w:sz w:val="24"/>
          <w:szCs w:val="24"/>
          <w:lang w:eastAsia="it-IT"/>
        </w:rPr>
        <w:t xml:space="preserve"> </w:t>
      </w:r>
      <w:r w:rsidR="00B15135" w:rsidRPr="006F2065">
        <w:rPr>
          <w:rFonts w:cstheme="minorHAnsi"/>
          <w:sz w:val="24"/>
          <w:szCs w:val="24"/>
        </w:rPr>
        <w:t xml:space="preserve">può essere immesso in commercio solo dopo che sono trascorsi 10 anni dall'autorizzazione iniziale del medicinale di riferimento.  </w:t>
      </w:r>
      <w:r w:rsidR="00B03E01" w:rsidRPr="006F2065">
        <w:rPr>
          <w:rFonts w:eastAsia="Calibri" w:cstheme="minorHAnsi"/>
          <w:sz w:val="24"/>
          <w:szCs w:val="24"/>
          <w:lang w:eastAsia="it-IT"/>
        </w:rPr>
        <w:t>Sul sito dell’Agenz</w:t>
      </w:r>
      <w:r w:rsidR="00132B98" w:rsidRPr="006F2065">
        <w:rPr>
          <w:rFonts w:eastAsia="Calibri" w:cstheme="minorHAnsi"/>
          <w:sz w:val="24"/>
          <w:szCs w:val="24"/>
          <w:lang w:eastAsia="it-IT"/>
        </w:rPr>
        <w:t xml:space="preserve">ia Italiana del Farmaco (AIFA) </w:t>
      </w:r>
      <w:hyperlink r:id="rId9" w:anchor="/it/" w:history="1">
        <w:r w:rsidR="00132B98" w:rsidRPr="006F2065">
          <w:rPr>
            <w:rStyle w:val="Collegamentoipertestuale"/>
            <w:rFonts w:eastAsia="Calibri" w:cstheme="minorHAnsi"/>
            <w:color w:val="auto"/>
            <w:sz w:val="24"/>
            <w:szCs w:val="24"/>
            <w:lang w:eastAsia="it-IT"/>
          </w:rPr>
          <w:t>https://medicinali.aifa.gov.it/it/#/it/</w:t>
        </w:r>
      </w:hyperlink>
      <w:r w:rsidR="00132B98" w:rsidRPr="006F2065">
        <w:rPr>
          <w:rFonts w:eastAsia="Calibri" w:cstheme="minorHAnsi"/>
          <w:sz w:val="24"/>
          <w:szCs w:val="24"/>
          <w:lang w:eastAsia="it-IT"/>
        </w:rPr>
        <w:t xml:space="preserve"> </w:t>
      </w:r>
      <w:r w:rsidR="00B03E01" w:rsidRPr="006F2065">
        <w:rPr>
          <w:rFonts w:eastAsia="Calibri" w:cstheme="minorHAnsi"/>
          <w:sz w:val="24"/>
          <w:szCs w:val="24"/>
          <w:lang w:eastAsia="it-IT"/>
        </w:rPr>
        <w:t xml:space="preserve">è possibile consultare il Riassunto delle caratteristiche del prodotto e il foglio illustrativo di </w:t>
      </w:r>
      <w:proofErr w:type="spellStart"/>
      <w:r w:rsidR="006F2065" w:rsidRPr="006F2065">
        <w:rPr>
          <w:rFonts w:eastAsia="Calibri" w:cstheme="minorHAnsi"/>
          <w:sz w:val="24"/>
          <w:szCs w:val="24"/>
          <w:lang w:eastAsia="it-IT"/>
        </w:rPr>
        <w:t>Imovane</w:t>
      </w:r>
      <w:proofErr w:type="spellEnd"/>
      <w:r w:rsidR="00B03E01" w:rsidRPr="006F2065">
        <w:rPr>
          <w:rFonts w:eastAsia="Calibri" w:cstheme="minorHAnsi"/>
          <w:sz w:val="24"/>
          <w:szCs w:val="24"/>
          <w:lang w:eastAsia="it-IT"/>
        </w:rPr>
        <w:t>.</w:t>
      </w:r>
    </w:p>
    <w:p w14:paraId="42C8EC6B" w14:textId="77777777" w:rsidR="00445DB2" w:rsidRPr="005D5749" w:rsidRDefault="00445DB2" w:rsidP="00B03E0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21F72190" w14:textId="234766BB" w:rsidR="00BB2AF8" w:rsidRPr="005D5749" w:rsidRDefault="00E022BA" w:rsidP="00300B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proofErr w:type="spellStart"/>
      <w:r w:rsidRPr="000760A5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0760A5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0760A5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300BEA" w:rsidRPr="000760A5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0760A5">
        <w:rPr>
          <w:rFonts w:eastAsia="Calibri" w:cstheme="minorHAnsi"/>
          <w:sz w:val="24"/>
          <w:szCs w:val="24"/>
          <w:lang w:eastAsia="it-IT"/>
        </w:rPr>
        <w:t>si usa</w:t>
      </w:r>
      <w:r w:rsidR="00B03E01" w:rsidRPr="000760A5">
        <w:rPr>
          <w:rFonts w:eastAsia="Calibri" w:cstheme="minorHAnsi"/>
          <w:sz w:val="24"/>
          <w:szCs w:val="24"/>
          <w:lang w:eastAsia="it-IT"/>
        </w:rPr>
        <w:t xml:space="preserve"> per</w:t>
      </w:r>
      <w:r w:rsidR="00BB2AF8" w:rsidRPr="000760A5">
        <w:rPr>
          <w:rFonts w:eastAsia="Calibri" w:cstheme="minorHAnsi"/>
          <w:sz w:val="24"/>
          <w:szCs w:val="24"/>
          <w:lang w:eastAsia="it-IT"/>
        </w:rPr>
        <w:t>:</w:t>
      </w:r>
      <w:r w:rsidR="00B03E01" w:rsidRPr="000760A5">
        <w:rPr>
          <w:rFonts w:eastAsia="Calibri" w:cstheme="minorHAnsi"/>
          <w:sz w:val="24"/>
          <w:szCs w:val="24"/>
          <w:lang w:eastAsia="it-IT"/>
        </w:rPr>
        <w:t xml:space="preserve"> </w:t>
      </w:r>
      <w:r w:rsidR="005D5749" w:rsidRPr="000760A5">
        <w:rPr>
          <w:rFonts w:eastAsia="Calibri" w:cstheme="minorHAnsi"/>
          <w:sz w:val="24"/>
          <w:szCs w:val="24"/>
          <w:lang w:eastAsia="it-IT"/>
        </w:rPr>
        <w:t>trattamento a breve termine dell’insonnia negli adulti.</w:t>
      </w:r>
    </w:p>
    <w:p w14:paraId="20CF683C" w14:textId="77777777" w:rsidR="00BB2AF8" w:rsidRPr="005D5749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4FDE7C45" w14:textId="77777777" w:rsidR="00BB2AF8" w:rsidRPr="00AE028F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25523EEE" w14:textId="0B3DC247" w:rsidR="00BB2AF8" w:rsidRPr="00AE028F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E028F">
        <w:rPr>
          <w:rFonts w:eastAsia="Calibri" w:cstheme="minorHAnsi"/>
          <w:b/>
          <w:bCs/>
          <w:sz w:val="24"/>
          <w:szCs w:val="24"/>
          <w:lang w:eastAsia="it-IT"/>
        </w:rPr>
        <w:t xml:space="preserve">2) COME </w:t>
      </w:r>
      <w:r w:rsidR="005D5749" w:rsidRPr="00AE028F">
        <w:rPr>
          <w:rFonts w:eastAsia="Calibri" w:cstheme="minorHAnsi"/>
          <w:b/>
          <w:bCs/>
          <w:sz w:val="24"/>
          <w:szCs w:val="24"/>
          <w:lang w:eastAsia="it-IT"/>
        </w:rPr>
        <w:t>È</w:t>
      </w:r>
      <w:r w:rsidRPr="00AE028F">
        <w:rPr>
          <w:rFonts w:eastAsia="Calibri" w:cstheme="minorHAnsi"/>
          <w:b/>
          <w:bCs/>
          <w:sz w:val="24"/>
          <w:szCs w:val="24"/>
          <w:lang w:eastAsia="it-IT"/>
        </w:rPr>
        <w:t xml:space="preserve"> PRESCRITTO/USATO </w:t>
      </w:r>
      <w:proofErr w:type="spellStart"/>
      <w:r w:rsidR="00E022BA" w:rsidRPr="00AE028F">
        <w:rPr>
          <w:rFonts w:eastAsia="Calibri" w:cstheme="minorHAnsi"/>
          <w:b/>
          <w:sz w:val="24"/>
          <w:szCs w:val="24"/>
          <w:lang w:eastAsia="it-IT"/>
        </w:rPr>
        <w:t>Zopiclone</w:t>
      </w:r>
      <w:proofErr w:type="spellEnd"/>
      <w:r w:rsidR="00E022BA" w:rsidRPr="00AE028F">
        <w:rPr>
          <w:rFonts w:eastAsia="Calibri" w:cstheme="minorHAnsi"/>
          <w:b/>
          <w:sz w:val="24"/>
          <w:szCs w:val="24"/>
          <w:lang w:eastAsia="it-IT"/>
        </w:rPr>
        <w:t xml:space="preserve"> </w:t>
      </w:r>
      <w:proofErr w:type="spellStart"/>
      <w:r w:rsidR="00E022BA" w:rsidRPr="00AE028F">
        <w:rPr>
          <w:rFonts w:eastAsia="Calibri" w:cstheme="minorHAnsi"/>
          <w:b/>
          <w:sz w:val="24"/>
          <w:szCs w:val="24"/>
          <w:lang w:eastAsia="it-IT"/>
        </w:rPr>
        <w:t>Olpha</w:t>
      </w:r>
      <w:proofErr w:type="spellEnd"/>
      <w:r w:rsidRPr="00AE028F">
        <w:rPr>
          <w:rFonts w:eastAsia="Calibri" w:cstheme="minorHAnsi"/>
          <w:b/>
          <w:bCs/>
          <w:sz w:val="24"/>
          <w:szCs w:val="24"/>
          <w:lang w:eastAsia="it-IT"/>
        </w:rPr>
        <w:t>?</w:t>
      </w:r>
    </w:p>
    <w:p w14:paraId="5F44FE76" w14:textId="218261F4" w:rsidR="00300BEA" w:rsidRPr="00AE028F" w:rsidRDefault="00E022BA" w:rsidP="001C15DF">
      <w:pPr>
        <w:pStyle w:val="PreformattatoHTML"/>
        <w:jc w:val="both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AE028F">
        <w:rPr>
          <w:rFonts w:asciiTheme="minorHAnsi" w:eastAsia="Calibri" w:hAnsiTheme="minorHAnsi" w:cstheme="minorHAnsi"/>
          <w:sz w:val="24"/>
          <w:szCs w:val="24"/>
        </w:rPr>
        <w:lastRenderedPageBreak/>
        <w:t>Zopiclone</w:t>
      </w:r>
      <w:proofErr w:type="spellEnd"/>
      <w:r w:rsidRPr="00AE028F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AE028F">
        <w:rPr>
          <w:rFonts w:asciiTheme="minorHAnsi" w:eastAsia="Calibri" w:hAnsiTheme="minorHAnsi" w:cstheme="minorHAnsi"/>
          <w:sz w:val="24"/>
          <w:szCs w:val="24"/>
        </w:rPr>
        <w:t>Olpha</w:t>
      </w:r>
      <w:proofErr w:type="spellEnd"/>
      <w:r w:rsidR="00300BEA" w:rsidRPr="00AE028F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BB2AF8" w:rsidRPr="00AE028F">
        <w:rPr>
          <w:rFonts w:asciiTheme="minorHAnsi" w:eastAsia="Calibri" w:hAnsiTheme="minorHAnsi" w:cstheme="minorHAnsi"/>
          <w:sz w:val="24"/>
          <w:szCs w:val="24"/>
        </w:rPr>
        <w:t xml:space="preserve">può essere ottenuto </w:t>
      </w:r>
      <w:r w:rsidR="00300BEA" w:rsidRPr="00AE028F">
        <w:rPr>
          <w:rFonts w:asciiTheme="minorHAnsi" w:eastAsia="Calibri" w:hAnsiTheme="minorHAnsi" w:cstheme="minorHAnsi"/>
          <w:sz w:val="24"/>
          <w:szCs w:val="24"/>
        </w:rPr>
        <w:t>solo su prescrizione da parte del medico (ricetta ripetibile)</w:t>
      </w:r>
      <w:r w:rsidR="00AE028F" w:rsidRPr="00AE028F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5A6DA150" w14:textId="77777777" w:rsidR="001C15DF" w:rsidRPr="00AE028F" w:rsidRDefault="001C15DF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EA63556" w14:textId="77777777" w:rsidR="000760A5" w:rsidRPr="001F2057" w:rsidRDefault="000760A5" w:rsidP="000760A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F2057">
        <w:rPr>
          <w:rFonts w:cstheme="minorHAnsi"/>
          <w:sz w:val="24"/>
          <w:szCs w:val="24"/>
        </w:rPr>
        <w:t>La dose raccomandata per gli adulti di età inferiore ai 65 anni è di 7,5 mg al giorno, da assumere al momento di coricarsi.</w:t>
      </w:r>
    </w:p>
    <w:p w14:paraId="3958E295" w14:textId="77777777" w:rsidR="000760A5" w:rsidRPr="001F2057" w:rsidRDefault="000760A5" w:rsidP="000760A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F2057">
        <w:rPr>
          <w:rFonts w:cstheme="minorHAnsi"/>
          <w:sz w:val="24"/>
          <w:szCs w:val="24"/>
        </w:rPr>
        <w:t>La dose raccomandata per chi ha 65 anni o più è di 3,75 mg al giorno, da assumere al momento di coricarsi.</w:t>
      </w:r>
    </w:p>
    <w:p w14:paraId="21F94CC4" w14:textId="77777777" w:rsidR="000760A5" w:rsidRPr="001F2057" w:rsidRDefault="000760A5" w:rsidP="000760A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F2057">
        <w:rPr>
          <w:rFonts w:cstheme="minorHAnsi"/>
          <w:sz w:val="24"/>
          <w:szCs w:val="24"/>
        </w:rPr>
        <w:t>In caso di insufficienza respiratoria cronica, malattie epatiche o renali, la dose raccomandata è di 3,75 mg al giorno, da assumere al momento di coricarsi.</w:t>
      </w:r>
    </w:p>
    <w:p w14:paraId="7402BE7C" w14:textId="77777777" w:rsidR="000760A5" w:rsidRPr="001F2057" w:rsidRDefault="000760A5" w:rsidP="000760A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8529F99" w14:textId="77777777" w:rsidR="000760A5" w:rsidRPr="001F2057" w:rsidRDefault="000760A5" w:rsidP="000760A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F2057">
        <w:rPr>
          <w:rFonts w:cstheme="minorHAnsi"/>
          <w:sz w:val="24"/>
          <w:szCs w:val="24"/>
        </w:rPr>
        <w:t xml:space="preserve">L'uso di </w:t>
      </w:r>
      <w:proofErr w:type="spellStart"/>
      <w:r w:rsidRPr="001F2057">
        <w:rPr>
          <w:rFonts w:cstheme="minorHAnsi"/>
          <w:sz w:val="24"/>
          <w:szCs w:val="24"/>
        </w:rPr>
        <w:t>Zopiclone</w:t>
      </w:r>
      <w:proofErr w:type="spellEnd"/>
      <w:r w:rsidRPr="001F2057">
        <w:rPr>
          <w:rFonts w:cstheme="minorHAnsi"/>
          <w:sz w:val="24"/>
          <w:szCs w:val="24"/>
        </w:rPr>
        <w:t xml:space="preserve"> </w:t>
      </w:r>
      <w:proofErr w:type="spellStart"/>
      <w:r w:rsidRPr="001F2057">
        <w:rPr>
          <w:rFonts w:cstheme="minorHAnsi"/>
          <w:sz w:val="24"/>
          <w:szCs w:val="24"/>
        </w:rPr>
        <w:t>Olpha</w:t>
      </w:r>
      <w:proofErr w:type="spellEnd"/>
      <w:r w:rsidRPr="001F2057">
        <w:rPr>
          <w:rFonts w:cstheme="minorHAnsi"/>
          <w:sz w:val="24"/>
          <w:szCs w:val="24"/>
        </w:rPr>
        <w:t xml:space="preserve"> non è raccomandato nei bambini e negli adolescenti di età inferiore ai 18 anni, poiché la sicurezza e l'efficacia di </w:t>
      </w:r>
      <w:proofErr w:type="spellStart"/>
      <w:r w:rsidRPr="001F2057">
        <w:rPr>
          <w:rFonts w:cstheme="minorHAnsi"/>
          <w:sz w:val="24"/>
          <w:szCs w:val="24"/>
        </w:rPr>
        <w:t>Zopiclone</w:t>
      </w:r>
      <w:proofErr w:type="spellEnd"/>
      <w:r w:rsidRPr="001F2057">
        <w:rPr>
          <w:rFonts w:cstheme="minorHAnsi"/>
          <w:sz w:val="24"/>
          <w:szCs w:val="24"/>
        </w:rPr>
        <w:t xml:space="preserve"> </w:t>
      </w:r>
      <w:proofErr w:type="spellStart"/>
      <w:r w:rsidRPr="001F2057">
        <w:rPr>
          <w:rFonts w:cstheme="minorHAnsi"/>
          <w:sz w:val="24"/>
          <w:szCs w:val="24"/>
        </w:rPr>
        <w:t>Olpha</w:t>
      </w:r>
      <w:proofErr w:type="spellEnd"/>
      <w:r w:rsidRPr="001F2057">
        <w:rPr>
          <w:rFonts w:cstheme="minorHAnsi"/>
          <w:sz w:val="24"/>
          <w:szCs w:val="24"/>
        </w:rPr>
        <w:t xml:space="preserve"> non sono state stabilite in questa popolazione.</w:t>
      </w:r>
    </w:p>
    <w:p w14:paraId="04C17080" w14:textId="77777777" w:rsidR="000760A5" w:rsidRPr="001F2057" w:rsidRDefault="000760A5" w:rsidP="000760A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C058FA8" w14:textId="77777777" w:rsidR="000760A5" w:rsidRPr="006664AB" w:rsidRDefault="000760A5" w:rsidP="000760A5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1F2057">
        <w:rPr>
          <w:rFonts w:eastAsia="Calibri" w:cstheme="minorHAnsi"/>
          <w:sz w:val="24"/>
          <w:szCs w:val="24"/>
        </w:rPr>
        <w:t>Le compresse sono divisibili per favorire la scelta della posologia più adeguata.</w:t>
      </w:r>
      <w:r w:rsidRPr="006664AB">
        <w:rPr>
          <w:rFonts w:cstheme="minorHAnsi"/>
          <w:sz w:val="24"/>
          <w:szCs w:val="24"/>
        </w:rPr>
        <w:t xml:space="preserve"> </w:t>
      </w:r>
    </w:p>
    <w:p w14:paraId="442FB4FA" w14:textId="77777777" w:rsidR="00BB2AF8" w:rsidRPr="006664A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25FA40C" w14:textId="77777777" w:rsidR="00F96473" w:rsidRPr="006664AB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A254D87" w14:textId="0207F3A5" w:rsidR="00BB2AF8" w:rsidRPr="006664A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6664AB">
        <w:rPr>
          <w:rFonts w:eastAsia="Calibri" w:cstheme="minorHAnsi"/>
          <w:b/>
          <w:bCs/>
          <w:sz w:val="24"/>
          <w:szCs w:val="24"/>
          <w:lang w:eastAsia="it-IT"/>
        </w:rPr>
        <w:t xml:space="preserve">3) COME FUNZIONA </w:t>
      </w:r>
      <w:proofErr w:type="spellStart"/>
      <w:r w:rsidR="00E022BA" w:rsidRPr="006664AB">
        <w:rPr>
          <w:rFonts w:eastAsia="Calibri" w:cstheme="minorHAnsi"/>
          <w:b/>
          <w:sz w:val="24"/>
          <w:szCs w:val="24"/>
          <w:lang w:eastAsia="it-IT"/>
        </w:rPr>
        <w:t>Zopiclone</w:t>
      </w:r>
      <w:proofErr w:type="spellEnd"/>
      <w:r w:rsidR="00E022BA" w:rsidRPr="006664AB">
        <w:rPr>
          <w:rFonts w:eastAsia="Calibri" w:cstheme="minorHAnsi"/>
          <w:b/>
          <w:sz w:val="24"/>
          <w:szCs w:val="24"/>
          <w:lang w:eastAsia="it-IT"/>
        </w:rPr>
        <w:t xml:space="preserve"> </w:t>
      </w:r>
      <w:proofErr w:type="spellStart"/>
      <w:r w:rsidR="00E022BA" w:rsidRPr="006664AB">
        <w:rPr>
          <w:rFonts w:eastAsia="Calibri" w:cstheme="minorHAnsi"/>
          <w:b/>
          <w:sz w:val="24"/>
          <w:szCs w:val="24"/>
          <w:lang w:eastAsia="it-IT"/>
        </w:rPr>
        <w:t>Olpha</w:t>
      </w:r>
      <w:proofErr w:type="spellEnd"/>
      <w:r w:rsidRPr="006664AB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6837BAAA" w14:textId="77777777" w:rsidR="000760A5" w:rsidRPr="000760A5" w:rsidRDefault="000760A5" w:rsidP="000760A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0760A5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0760A5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0760A5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Pr="000760A5">
        <w:rPr>
          <w:rFonts w:eastAsia="Calibri" w:cstheme="minorHAnsi"/>
          <w:bCs/>
          <w:sz w:val="24"/>
          <w:szCs w:val="24"/>
          <w:lang w:eastAsia="it-IT"/>
        </w:rPr>
        <w:t xml:space="preserve">, il cui codice ATC è N05CF01 </w:t>
      </w:r>
      <w:r w:rsidRPr="000760A5">
        <w:rPr>
          <w:rFonts w:eastAsia="Calibri" w:cstheme="minorHAnsi"/>
          <w:sz w:val="24"/>
          <w:szCs w:val="24"/>
          <w:lang w:eastAsia="it-IT"/>
        </w:rPr>
        <w:t xml:space="preserve">contiene il principio attivo </w:t>
      </w:r>
      <w:proofErr w:type="spellStart"/>
      <w:r w:rsidRPr="000760A5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0760A5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0760A5">
        <w:rPr>
          <w:rFonts w:eastAsia="DejaVuSans" w:cstheme="minorHAnsi"/>
          <w:sz w:val="24"/>
          <w:szCs w:val="24"/>
        </w:rPr>
        <w:t xml:space="preserve">che </w:t>
      </w:r>
      <w:r w:rsidRPr="000760A5">
        <w:rPr>
          <w:rFonts w:cstheme="minorHAnsi"/>
          <w:sz w:val="24"/>
          <w:szCs w:val="24"/>
        </w:rPr>
        <w:t>appartiene alla classe degli ipnotici e sedativi, benzodiazepine e medicinali correlati.</w:t>
      </w:r>
    </w:p>
    <w:p w14:paraId="3D00F0FD" w14:textId="77777777" w:rsidR="000760A5" w:rsidRPr="006664AB" w:rsidRDefault="000760A5" w:rsidP="000760A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F2057">
        <w:rPr>
          <w:rFonts w:cstheme="minorHAnsi"/>
          <w:sz w:val="24"/>
          <w:szCs w:val="24"/>
        </w:rPr>
        <w:t>Agisce aumentando la durata del sonno e riducendo il numero di risvegli nel cuore della notte.</w:t>
      </w:r>
    </w:p>
    <w:p w14:paraId="0E007C1C" w14:textId="77777777" w:rsidR="006664AB" w:rsidRPr="006664AB" w:rsidRDefault="006664AB" w:rsidP="006664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B9774CD" w14:textId="294A370C" w:rsidR="00BB2AF8" w:rsidRPr="006664AB" w:rsidRDefault="00BB2AF8" w:rsidP="006664A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6664AB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proofErr w:type="spellStart"/>
      <w:r w:rsidR="00E022BA" w:rsidRPr="006664AB">
        <w:rPr>
          <w:rFonts w:eastAsia="Calibri" w:cstheme="minorHAnsi"/>
          <w:b/>
          <w:sz w:val="24"/>
          <w:szCs w:val="24"/>
          <w:lang w:eastAsia="it-IT"/>
        </w:rPr>
        <w:t>Zopiclone</w:t>
      </w:r>
      <w:proofErr w:type="spellEnd"/>
      <w:r w:rsidR="00E022BA" w:rsidRPr="006664AB">
        <w:rPr>
          <w:rFonts w:eastAsia="Calibri" w:cstheme="minorHAnsi"/>
          <w:b/>
          <w:sz w:val="24"/>
          <w:szCs w:val="24"/>
          <w:lang w:eastAsia="it-IT"/>
        </w:rPr>
        <w:t xml:space="preserve"> </w:t>
      </w:r>
      <w:proofErr w:type="spellStart"/>
      <w:r w:rsidR="00E022BA" w:rsidRPr="006664AB">
        <w:rPr>
          <w:rFonts w:eastAsia="Calibri" w:cstheme="minorHAnsi"/>
          <w:b/>
          <w:sz w:val="24"/>
          <w:szCs w:val="24"/>
          <w:lang w:eastAsia="it-IT"/>
        </w:rPr>
        <w:t>Olpha</w:t>
      </w:r>
      <w:proofErr w:type="spellEnd"/>
      <w:r w:rsidRPr="006664AB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03022510" w14:textId="4B413B6C" w:rsidR="000760A5" w:rsidRPr="006664AB" w:rsidRDefault="000760A5" w:rsidP="000760A5">
      <w:p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0760A5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0760A5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0760A5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Pr="000760A5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0760A5">
        <w:rPr>
          <w:rFonts w:cstheme="minorHAnsi"/>
          <w:sz w:val="24"/>
          <w:szCs w:val="24"/>
        </w:rPr>
        <w:t xml:space="preserve">è un medicinale generico. Poiché il profilo di sicurezza e l’efficacia del principio attivo di </w:t>
      </w:r>
      <w:proofErr w:type="spellStart"/>
      <w:r w:rsidRPr="000760A5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0760A5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0760A5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Pr="000760A5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0760A5">
        <w:rPr>
          <w:rFonts w:cstheme="minorHAnsi"/>
          <w:sz w:val="24"/>
          <w:szCs w:val="24"/>
        </w:rPr>
        <w:t xml:space="preserve">è ben conosciuto in quanto il medicinale di riferimento è autorizzato da almeno 8 anni nell’Unione europea, a supporto dell’efficacia e della sicurezza di </w:t>
      </w:r>
      <w:proofErr w:type="spellStart"/>
      <w:r w:rsidRPr="000760A5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0760A5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0760A5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Pr="000760A5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0760A5">
        <w:rPr>
          <w:rFonts w:cstheme="minorHAnsi"/>
          <w:sz w:val="24"/>
          <w:szCs w:val="24"/>
        </w:rPr>
        <w:t>sono state effettuate prove cliniche di confronto con il medicinale di riferimento per determinare</w:t>
      </w:r>
      <w:r w:rsidRPr="000760A5">
        <w:rPr>
          <w:rFonts w:cstheme="minorHAnsi"/>
          <w:b/>
          <w:sz w:val="24"/>
          <w:szCs w:val="24"/>
        </w:rPr>
        <w:t xml:space="preserve"> </w:t>
      </w:r>
      <w:r w:rsidRPr="000760A5">
        <w:rPr>
          <w:rFonts w:cstheme="minorHAnsi"/>
          <w:sz w:val="24"/>
          <w:szCs w:val="24"/>
        </w:rPr>
        <w:t xml:space="preserve">la </w:t>
      </w:r>
      <w:proofErr w:type="spellStart"/>
      <w:r w:rsidRPr="000760A5">
        <w:rPr>
          <w:rFonts w:cstheme="minorHAnsi"/>
          <w:sz w:val="24"/>
          <w:szCs w:val="24"/>
        </w:rPr>
        <w:t>bioequivalenza</w:t>
      </w:r>
      <w:proofErr w:type="spellEnd"/>
      <w:r w:rsidRPr="000760A5">
        <w:rPr>
          <w:rFonts w:cstheme="minorHAnsi"/>
          <w:sz w:val="24"/>
          <w:szCs w:val="24"/>
        </w:rPr>
        <w:t xml:space="preserve"> rispetto al medicinale di riferimento </w:t>
      </w:r>
      <w:proofErr w:type="spellStart"/>
      <w:r w:rsidRPr="000760A5">
        <w:rPr>
          <w:rFonts w:cstheme="minorHAnsi"/>
          <w:sz w:val="24"/>
          <w:szCs w:val="24"/>
        </w:rPr>
        <w:t>Imovane</w:t>
      </w:r>
      <w:proofErr w:type="spellEnd"/>
      <w:r w:rsidRPr="000760A5">
        <w:rPr>
          <w:rFonts w:cstheme="minorHAnsi"/>
          <w:sz w:val="24"/>
          <w:szCs w:val="24"/>
        </w:rPr>
        <w:t xml:space="preserve">. Due medicinali sono </w:t>
      </w:r>
      <w:proofErr w:type="spellStart"/>
      <w:r w:rsidRPr="000760A5">
        <w:rPr>
          <w:rFonts w:cstheme="minorHAnsi"/>
          <w:sz w:val="24"/>
          <w:szCs w:val="24"/>
        </w:rPr>
        <w:t>bioequivalenti</w:t>
      </w:r>
      <w:proofErr w:type="spellEnd"/>
      <w:r w:rsidRPr="000760A5">
        <w:rPr>
          <w:rFonts w:cstheme="minorHAnsi"/>
          <w:sz w:val="24"/>
          <w:szCs w:val="24"/>
        </w:rPr>
        <w:t xml:space="preserve"> quando producono gli stessi livelli di principio attivo nell’organismo.</w:t>
      </w:r>
    </w:p>
    <w:p w14:paraId="045481E6" w14:textId="77777777" w:rsidR="000760A5" w:rsidRPr="00C1351F" w:rsidRDefault="000760A5" w:rsidP="000760A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908190B" w14:textId="5D034C39" w:rsidR="000760A5" w:rsidRPr="00C1351F" w:rsidRDefault="000760A5" w:rsidP="000760A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351F">
        <w:rPr>
          <w:rFonts w:cstheme="minorHAnsi"/>
          <w:sz w:val="24"/>
          <w:szCs w:val="24"/>
        </w:rPr>
        <w:t xml:space="preserve">Per il dosaggio da </w:t>
      </w:r>
      <w:r>
        <w:rPr>
          <w:rFonts w:cstheme="minorHAnsi"/>
          <w:sz w:val="24"/>
          <w:szCs w:val="24"/>
        </w:rPr>
        <w:t>3</w:t>
      </w:r>
      <w:r w:rsidRPr="00C1351F">
        <w:rPr>
          <w:rFonts w:cstheme="minorHAnsi"/>
          <w:sz w:val="24"/>
          <w:szCs w:val="24"/>
        </w:rPr>
        <w:t>,75 mg è stata dimostrata l’equivalenza farmaceutica tramite studi comparativi di equivalenza farmaceutica in accordo alle linee guida applicabili.</w:t>
      </w:r>
    </w:p>
    <w:p w14:paraId="0C028BAE" w14:textId="77777777" w:rsidR="001A516D" w:rsidRPr="00C1351F" w:rsidRDefault="001A516D" w:rsidP="00BB2AF8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21C616EE" w14:textId="77777777" w:rsidR="00FF50B2" w:rsidRPr="00C1351F" w:rsidRDefault="00FF50B2" w:rsidP="00FF50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6ACECB" w14:textId="3428520D" w:rsidR="00BB2AF8" w:rsidRPr="00C1351F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C1351F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proofErr w:type="spellStart"/>
      <w:r w:rsidR="00E022BA" w:rsidRPr="00C1351F">
        <w:rPr>
          <w:rFonts w:eastAsia="Calibri" w:cstheme="minorHAnsi"/>
          <w:b/>
          <w:sz w:val="24"/>
          <w:szCs w:val="24"/>
          <w:lang w:eastAsia="it-IT"/>
        </w:rPr>
        <w:t>Zopiclone</w:t>
      </w:r>
      <w:proofErr w:type="spellEnd"/>
      <w:r w:rsidR="00E022BA" w:rsidRPr="00C1351F">
        <w:rPr>
          <w:rFonts w:eastAsia="Calibri" w:cstheme="minorHAnsi"/>
          <w:b/>
          <w:sz w:val="24"/>
          <w:szCs w:val="24"/>
          <w:lang w:eastAsia="it-IT"/>
        </w:rPr>
        <w:t xml:space="preserve"> </w:t>
      </w:r>
      <w:proofErr w:type="spellStart"/>
      <w:r w:rsidR="00E022BA" w:rsidRPr="00C1351F">
        <w:rPr>
          <w:rFonts w:eastAsia="Calibri" w:cstheme="minorHAnsi"/>
          <w:b/>
          <w:sz w:val="24"/>
          <w:szCs w:val="24"/>
          <w:lang w:eastAsia="it-IT"/>
        </w:rPr>
        <w:t>Olpha</w:t>
      </w:r>
      <w:proofErr w:type="spellEnd"/>
      <w:r w:rsidRPr="00C1351F">
        <w:rPr>
          <w:rFonts w:eastAsia="Calibri" w:cstheme="minorHAnsi"/>
          <w:b/>
          <w:sz w:val="24"/>
          <w:szCs w:val="24"/>
          <w:lang w:eastAsia="it-IT"/>
        </w:rPr>
        <w:t>?</w:t>
      </w:r>
      <w:r w:rsidRPr="00C1351F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61275757" w14:textId="07282D8F" w:rsidR="00BB2AF8" w:rsidRPr="00C1351F" w:rsidRDefault="00E022B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proofErr w:type="spellStart"/>
      <w:r w:rsidRPr="00C1351F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C1351F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C1351F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7170D7" w:rsidRPr="00C1351F">
        <w:rPr>
          <w:rFonts w:cstheme="minorHAnsi"/>
          <w:sz w:val="24"/>
          <w:szCs w:val="24"/>
        </w:rPr>
        <w:t xml:space="preserve"> </w:t>
      </w:r>
      <w:r w:rsidR="00BB2AF8" w:rsidRPr="00C1351F">
        <w:rPr>
          <w:rFonts w:eastAsia="Calibri" w:cstheme="minorHAnsi"/>
          <w:sz w:val="24"/>
          <w:szCs w:val="24"/>
          <w:lang w:eastAsia="it-IT"/>
        </w:rPr>
        <w:t xml:space="preserve">è un medicinale generico ed è bioequivalente al medicinale di riferimento; pertanto, i suoi benefici e rischi sono sovrapponibili a quelli del medicinale di riferimento. </w:t>
      </w:r>
    </w:p>
    <w:p w14:paraId="38E599F3" w14:textId="07C0F598" w:rsidR="00FF50B2" w:rsidRPr="000A0487" w:rsidRDefault="00FF50B2" w:rsidP="00FF50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0E4D84AF" w14:textId="77777777" w:rsidR="00BB2AF8" w:rsidRPr="000A0487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4AD7E81E" w:rsidR="00BB2AF8" w:rsidRPr="000A0487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0A0487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proofErr w:type="spellStart"/>
      <w:r w:rsidR="00E022BA" w:rsidRPr="000A0487">
        <w:rPr>
          <w:rFonts w:eastAsia="Calibri" w:cstheme="minorHAnsi"/>
          <w:b/>
          <w:sz w:val="24"/>
          <w:szCs w:val="24"/>
          <w:lang w:eastAsia="it-IT"/>
        </w:rPr>
        <w:t>Zopiclone</w:t>
      </w:r>
      <w:proofErr w:type="spellEnd"/>
      <w:r w:rsidR="00E022BA" w:rsidRPr="000A0487">
        <w:rPr>
          <w:rFonts w:eastAsia="Calibri" w:cstheme="minorHAnsi"/>
          <w:b/>
          <w:sz w:val="24"/>
          <w:szCs w:val="24"/>
          <w:lang w:eastAsia="it-IT"/>
        </w:rPr>
        <w:t xml:space="preserve"> </w:t>
      </w:r>
      <w:proofErr w:type="spellStart"/>
      <w:r w:rsidR="00E022BA" w:rsidRPr="000A0487">
        <w:rPr>
          <w:rFonts w:eastAsia="Calibri" w:cstheme="minorHAnsi"/>
          <w:b/>
          <w:sz w:val="24"/>
          <w:szCs w:val="24"/>
          <w:lang w:eastAsia="it-IT"/>
        </w:rPr>
        <w:t>Olpha</w:t>
      </w:r>
      <w:proofErr w:type="spellEnd"/>
      <w:r w:rsidR="007170D7" w:rsidRPr="000A0487">
        <w:rPr>
          <w:rFonts w:eastAsia="Calibri" w:cstheme="minorHAnsi"/>
          <w:b/>
          <w:sz w:val="24"/>
          <w:szCs w:val="24"/>
          <w:lang w:eastAsia="it-IT"/>
        </w:rPr>
        <w:t xml:space="preserve"> </w:t>
      </w:r>
      <w:r w:rsidR="00FF50B2" w:rsidRPr="000A0487">
        <w:rPr>
          <w:rFonts w:eastAsia="Calibri" w:cstheme="minorHAnsi"/>
          <w:b/>
          <w:bCs/>
          <w:sz w:val="24"/>
          <w:szCs w:val="24"/>
          <w:lang w:eastAsia="it-IT"/>
        </w:rPr>
        <w:t>È</w:t>
      </w:r>
      <w:r w:rsidR="00FF50B2" w:rsidRPr="000A0487" w:rsidDel="00FF50B2">
        <w:rPr>
          <w:rFonts w:eastAsia="Calibri" w:cstheme="minorHAnsi"/>
          <w:b/>
          <w:bCs/>
          <w:sz w:val="24"/>
          <w:szCs w:val="24"/>
          <w:lang w:eastAsia="it-IT"/>
        </w:rPr>
        <w:t xml:space="preserve"> </w:t>
      </w:r>
      <w:r w:rsidRPr="000A0487">
        <w:rPr>
          <w:rFonts w:eastAsia="Calibri" w:cstheme="minorHAnsi"/>
          <w:b/>
          <w:bCs/>
          <w:sz w:val="24"/>
          <w:szCs w:val="24"/>
          <w:lang w:eastAsia="it-IT"/>
        </w:rPr>
        <w:t xml:space="preserve">STATO APPROVATO? </w:t>
      </w:r>
    </w:p>
    <w:p w14:paraId="2F1F1380" w14:textId="56E640A5" w:rsidR="00BB2AF8" w:rsidRPr="000A0487" w:rsidRDefault="000C1389" w:rsidP="000A04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0A0487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 w:rsidRPr="000A0487">
        <w:rPr>
          <w:rFonts w:eastAsia="Calibri" w:cstheme="minorHAnsi"/>
          <w:sz w:val="24"/>
          <w:szCs w:val="24"/>
          <w:lang w:eastAsia="it-IT"/>
        </w:rPr>
        <w:t>a</w:t>
      </w:r>
      <w:r w:rsidRPr="000A0487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0A0487">
        <w:rPr>
          <w:rFonts w:eastAsia="Calibri" w:cstheme="minorHAnsi"/>
          <w:sz w:val="24"/>
          <w:szCs w:val="24"/>
          <w:lang w:eastAsia="it-IT"/>
        </w:rPr>
        <w:t xml:space="preserve">, conformemente ai requisiti della normativa vigente, come nel caso del medicinale di riferimento, i benefici di </w:t>
      </w:r>
      <w:proofErr w:type="spellStart"/>
      <w:r w:rsidR="00E022BA" w:rsidRPr="000A0487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0A0487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0A0487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BB2AF8" w:rsidRPr="000A0487">
        <w:rPr>
          <w:rFonts w:eastAsia="Calibri" w:cstheme="minorHAnsi"/>
          <w:sz w:val="24"/>
          <w:szCs w:val="24"/>
          <w:lang w:eastAsia="it-IT"/>
        </w:rPr>
        <w:t xml:space="preserve"> sono superiori ai rischi individuati. La CS</w:t>
      </w:r>
      <w:r w:rsidR="00C50582" w:rsidRPr="000A0487">
        <w:rPr>
          <w:rFonts w:eastAsia="Calibri" w:cstheme="minorHAnsi"/>
          <w:sz w:val="24"/>
          <w:szCs w:val="24"/>
          <w:lang w:eastAsia="it-IT"/>
        </w:rPr>
        <w:t>E</w:t>
      </w:r>
      <w:r w:rsidR="00353838" w:rsidRPr="000A0487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0A0487">
        <w:rPr>
          <w:rFonts w:eastAsia="Calibri" w:cstheme="minorHAnsi"/>
          <w:sz w:val="24"/>
          <w:szCs w:val="24"/>
          <w:lang w:eastAsia="it-IT"/>
        </w:rPr>
        <w:t>ha, inoltre, definito le modalità di prescrizione di cui al punto 2) di questo Riassunto e la classe di rimborsabilità del medicinale</w:t>
      </w:r>
      <w:r w:rsidR="007170D7" w:rsidRPr="000A0487">
        <w:rPr>
          <w:rFonts w:eastAsia="Calibri" w:cstheme="minorHAnsi"/>
          <w:sz w:val="24"/>
          <w:szCs w:val="24"/>
          <w:lang w:eastAsia="it-IT"/>
        </w:rPr>
        <w:t xml:space="preserve"> </w:t>
      </w:r>
      <w:r w:rsidR="00F76F77" w:rsidRPr="000A0487">
        <w:rPr>
          <w:rFonts w:eastAsia="Calibri" w:cstheme="minorHAnsi"/>
          <w:sz w:val="24"/>
          <w:szCs w:val="24"/>
          <w:lang w:eastAsia="it-IT"/>
        </w:rPr>
        <w:t>(</w:t>
      </w:r>
      <w:r w:rsidR="000A0487" w:rsidRPr="000A0487">
        <w:rPr>
          <w:rFonts w:eastAsia="Calibri" w:cstheme="minorHAnsi"/>
          <w:sz w:val="24"/>
          <w:szCs w:val="24"/>
          <w:lang w:eastAsia="it-IT"/>
        </w:rPr>
        <w:t>C per la confezione da 20 compresse da 7,5 mg e in C(</w:t>
      </w:r>
      <w:proofErr w:type="spellStart"/>
      <w:r w:rsidR="000A0487" w:rsidRPr="000A0487">
        <w:rPr>
          <w:rFonts w:eastAsia="Calibri" w:cstheme="minorHAnsi"/>
          <w:sz w:val="24"/>
          <w:szCs w:val="24"/>
          <w:lang w:eastAsia="it-IT"/>
        </w:rPr>
        <w:t>nn</w:t>
      </w:r>
      <w:proofErr w:type="spellEnd"/>
      <w:r w:rsidR="000A0487" w:rsidRPr="000A0487">
        <w:rPr>
          <w:rFonts w:eastAsia="Calibri" w:cstheme="minorHAnsi"/>
          <w:sz w:val="24"/>
          <w:szCs w:val="24"/>
          <w:lang w:eastAsia="it-IT"/>
        </w:rPr>
        <w:t>) per le restanti).</w:t>
      </w:r>
    </w:p>
    <w:p w14:paraId="563BF063" w14:textId="6724C546" w:rsidR="004241AC" w:rsidRPr="000A048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</w:p>
    <w:p w14:paraId="08B0FCA7" w14:textId="77777777" w:rsidR="000A0487" w:rsidRPr="000A0487" w:rsidRDefault="000A048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</w:p>
    <w:p w14:paraId="5481EC77" w14:textId="6F354B9E" w:rsidR="004241AC" w:rsidRPr="000A048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0A0487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proofErr w:type="spellStart"/>
      <w:r w:rsidR="00E022BA" w:rsidRPr="000A0487">
        <w:rPr>
          <w:rFonts w:eastAsia="Calibri" w:cstheme="minorHAnsi"/>
          <w:b/>
          <w:sz w:val="24"/>
          <w:szCs w:val="24"/>
          <w:lang w:eastAsia="it-IT"/>
        </w:rPr>
        <w:t>Zopiclone</w:t>
      </w:r>
      <w:proofErr w:type="spellEnd"/>
      <w:r w:rsidR="00E022BA" w:rsidRPr="000A0487">
        <w:rPr>
          <w:rFonts w:eastAsia="Calibri" w:cstheme="minorHAnsi"/>
          <w:b/>
          <w:sz w:val="24"/>
          <w:szCs w:val="24"/>
          <w:lang w:eastAsia="it-IT"/>
        </w:rPr>
        <w:t xml:space="preserve"> </w:t>
      </w:r>
      <w:proofErr w:type="spellStart"/>
      <w:r w:rsidR="00E022BA" w:rsidRPr="000A0487">
        <w:rPr>
          <w:rFonts w:eastAsia="Calibri" w:cstheme="minorHAnsi"/>
          <w:b/>
          <w:sz w:val="24"/>
          <w:szCs w:val="24"/>
          <w:lang w:eastAsia="it-IT"/>
        </w:rPr>
        <w:t>Olpha</w:t>
      </w:r>
      <w:proofErr w:type="spellEnd"/>
      <w:r w:rsidRPr="000A0487">
        <w:rPr>
          <w:rFonts w:eastAsia="Calibri" w:cstheme="minorHAnsi"/>
          <w:b/>
          <w:bCs/>
          <w:sz w:val="24"/>
          <w:szCs w:val="24"/>
          <w:lang w:eastAsia="it-IT"/>
        </w:rPr>
        <w:t>?</w:t>
      </w:r>
    </w:p>
    <w:p w14:paraId="17597DA8" w14:textId="1C50CA93" w:rsidR="004241AC" w:rsidRPr="000A0487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0A0487">
        <w:rPr>
          <w:rFonts w:eastAsia="Calibri" w:cstheme="minorHAnsi"/>
          <w:sz w:val="24"/>
          <w:szCs w:val="24"/>
          <w:lang w:eastAsia="it-IT"/>
        </w:rPr>
        <w:lastRenderedPageBreak/>
        <w:t xml:space="preserve">Il titolare </w:t>
      </w:r>
      <w:r w:rsidR="004241AC" w:rsidRPr="000A0487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E022BA" w:rsidRPr="000A0487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0A0487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0A0487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4241AC" w:rsidRPr="000A0487">
        <w:rPr>
          <w:rFonts w:eastAsia="Calibri" w:cstheme="minorHAnsi"/>
          <w:sz w:val="24"/>
          <w:szCs w:val="24"/>
          <w:lang w:eastAsia="it-IT"/>
        </w:rPr>
        <w:t>.</w:t>
      </w:r>
    </w:p>
    <w:p w14:paraId="5F364323" w14:textId="77777777" w:rsidR="00F1246A" w:rsidRPr="000A0487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3FBA7CE4" w14:textId="77777777" w:rsidR="00663BCD" w:rsidRPr="000A0487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2EFB6ECC" w:rsidR="004241AC" w:rsidRPr="000A048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0A0487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proofErr w:type="spellStart"/>
      <w:r w:rsidR="00E022BA" w:rsidRPr="000A0487">
        <w:rPr>
          <w:rFonts w:eastAsia="Calibri" w:cstheme="minorHAnsi"/>
          <w:b/>
          <w:sz w:val="24"/>
          <w:szCs w:val="24"/>
          <w:lang w:eastAsia="it-IT"/>
        </w:rPr>
        <w:t>Zopiclone</w:t>
      </w:r>
      <w:proofErr w:type="spellEnd"/>
      <w:r w:rsidR="00E022BA" w:rsidRPr="000A0487">
        <w:rPr>
          <w:rFonts w:eastAsia="Calibri" w:cstheme="minorHAnsi"/>
          <w:b/>
          <w:sz w:val="24"/>
          <w:szCs w:val="24"/>
          <w:lang w:eastAsia="it-IT"/>
        </w:rPr>
        <w:t xml:space="preserve"> </w:t>
      </w:r>
      <w:proofErr w:type="spellStart"/>
      <w:r w:rsidR="00E022BA" w:rsidRPr="000A0487">
        <w:rPr>
          <w:rFonts w:eastAsia="Calibri" w:cstheme="minorHAnsi"/>
          <w:b/>
          <w:sz w:val="24"/>
          <w:szCs w:val="24"/>
          <w:lang w:eastAsia="it-IT"/>
        </w:rPr>
        <w:t>Olpha</w:t>
      </w:r>
      <w:proofErr w:type="spellEnd"/>
    </w:p>
    <w:p w14:paraId="317999E8" w14:textId="51AEA198" w:rsidR="004241AC" w:rsidRPr="000A048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0A0487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0A0487" w:rsidRPr="000A0487">
        <w:rPr>
          <w:rFonts w:eastAsia="Calibri" w:cstheme="minorHAnsi"/>
          <w:bCs/>
          <w:iCs/>
          <w:sz w:val="24"/>
          <w:szCs w:val="24"/>
          <w:lang w:eastAsia="it-IT"/>
        </w:rPr>
        <w:t>25 giugno 2025</w:t>
      </w:r>
      <w:r w:rsidRPr="000A0487">
        <w:rPr>
          <w:rFonts w:eastAsia="Calibri" w:cstheme="minorHAnsi"/>
          <w:bCs/>
          <w:iCs/>
          <w:sz w:val="24"/>
          <w:szCs w:val="24"/>
          <w:lang w:eastAsia="it-IT"/>
        </w:rPr>
        <w:t xml:space="preserve"> l’AIFA ha rilasciato l’autorizzazione all’immissione in commercio di </w:t>
      </w:r>
      <w:proofErr w:type="spellStart"/>
      <w:r w:rsidR="00E022BA" w:rsidRPr="000A0487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0A0487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0A0487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0A0487" w:rsidRPr="000A0487">
        <w:rPr>
          <w:rFonts w:eastAsia="Calibri" w:cstheme="minorHAnsi"/>
          <w:bCs/>
          <w:sz w:val="24"/>
          <w:szCs w:val="24"/>
          <w:lang w:eastAsia="it-IT"/>
        </w:rPr>
        <w:t>.</w:t>
      </w:r>
    </w:p>
    <w:p w14:paraId="21121D8B" w14:textId="77777777" w:rsidR="004E5A39" w:rsidRPr="000A0487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F04232E" w14:textId="77777777" w:rsidR="004E5A39" w:rsidRPr="000A0487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0A0487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6CC672B3" w14:textId="7FF5DE8F" w:rsidR="004241AC" w:rsidRPr="000A048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0A0487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proofErr w:type="spellStart"/>
      <w:r w:rsidR="00E022BA" w:rsidRPr="000A0487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0A0487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0A0487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7170D7" w:rsidRPr="000A0487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0A0487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FF50B2" w:rsidRPr="000A0487">
        <w:rPr>
          <w:rFonts w:eastAsia="Calibri" w:cstheme="minorHAnsi"/>
          <w:sz w:val="24"/>
          <w:szCs w:val="24"/>
          <w:lang w:eastAsia="it-IT"/>
        </w:rPr>
        <w:t>(https://medicinali.aifa.gov.it</w:t>
      </w:r>
      <w:r w:rsidR="00983038" w:rsidRPr="000A0487">
        <w:rPr>
          <w:rFonts w:eastAsia="Calibri" w:cstheme="minorHAnsi"/>
          <w:sz w:val="24"/>
          <w:szCs w:val="24"/>
          <w:lang w:eastAsia="it-IT"/>
        </w:rPr>
        <w:t>)</w:t>
      </w:r>
      <w:r w:rsidR="00FF50B2" w:rsidRPr="000A0487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0A0487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0A0487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0A0487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0A0487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92F39BC" w14:textId="098EFFB6" w:rsidR="004241AC" w:rsidRPr="000A0487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B114F7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B114F7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B114F7" w:rsidRPr="00B114F7">
        <w:rPr>
          <w:rFonts w:eastAsia="Calibri" w:cstheme="minorHAnsi"/>
          <w:sz w:val="24"/>
          <w:szCs w:val="24"/>
          <w:lang w:eastAsia="it-IT"/>
        </w:rPr>
        <w:t>5</w:t>
      </w:r>
      <w:r w:rsidR="00D433AA" w:rsidRPr="00B114F7">
        <w:rPr>
          <w:rFonts w:eastAsia="Calibri" w:cstheme="minorHAnsi"/>
          <w:sz w:val="24"/>
          <w:szCs w:val="24"/>
          <w:lang w:eastAsia="it-IT"/>
        </w:rPr>
        <w:t xml:space="preserve"> </w:t>
      </w:r>
      <w:r w:rsidR="000A0487" w:rsidRPr="00B114F7">
        <w:rPr>
          <w:rFonts w:eastAsia="Calibri" w:cstheme="minorHAnsi"/>
          <w:sz w:val="24"/>
          <w:szCs w:val="24"/>
          <w:lang w:eastAsia="it-IT"/>
        </w:rPr>
        <w:t>dicembre</w:t>
      </w:r>
      <w:r w:rsidR="000A0487" w:rsidRPr="000A0487">
        <w:rPr>
          <w:rFonts w:eastAsia="Calibri" w:cstheme="minorHAnsi"/>
          <w:sz w:val="24"/>
          <w:szCs w:val="24"/>
          <w:lang w:eastAsia="it-IT"/>
        </w:rPr>
        <w:t xml:space="preserve"> 2025.</w:t>
      </w:r>
    </w:p>
    <w:p w14:paraId="03C6C7A7" w14:textId="77777777" w:rsidR="004E5A39" w:rsidRPr="000A0487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E609C9" w14:textId="77777777" w:rsidR="007170D7" w:rsidRPr="000A0487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2B8626C" w14:textId="3269BCDC" w:rsidR="000A0487" w:rsidRPr="000A0487" w:rsidRDefault="000A0487">
      <w:pPr>
        <w:rPr>
          <w:rFonts w:cstheme="minorHAnsi"/>
          <w:b/>
          <w:sz w:val="24"/>
          <w:szCs w:val="24"/>
        </w:rPr>
      </w:pPr>
      <w:r w:rsidRPr="000A0487">
        <w:rPr>
          <w:rFonts w:cstheme="minorHAnsi"/>
          <w:b/>
          <w:sz w:val="24"/>
          <w:szCs w:val="24"/>
        </w:rPr>
        <w:br w:type="page"/>
      </w:r>
    </w:p>
    <w:p w14:paraId="04451466" w14:textId="77777777" w:rsidR="004E5A39" w:rsidRPr="008E266D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E266D">
        <w:rPr>
          <w:rFonts w:cstheme="minorHAnsi"/>
          <w:b/>
          <w:sz w:val="24"/>
          <w:szCs w:val="24"/>
        </w:rPr>
        <w:lastRenderedPageBreak/>
        <w:t>RELAZIONE PUBBLICA DI VALUTAZIONE</w:t>
      </w:r>
    </w:p>
    <w:p w14:paraId="692C325E" w14:textId="77777777" w:rsidR="004E5A39" w:rsidRPr="008E266D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952B85" w14:textId="77777777" w:rsidR="004E5A39" w:rsidRPr="008E266D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37251" w14:textId="77777777" w:rsidR="004E5A39" w:rsidRPr="008E266D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3587F0" w14:textId="77777777" w:rsidR="004E5A39" w:rsidRPr="008E266D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ACB50F" w14:textId="77777777" w:rsidR="004E5A39" w:rsidRPr="008E266D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E266D">
        <w:rPr>
          <w:rFonts w:cstheme="minorHAnsi"/>
          <w:b/>
          <w:sz w:val="24"/>
          <w:szCs w:val="24"/>
        </w:rPr>
        <w:t>INDICE</w:t>
      </w:r>
    </w:p>
    <w:p w14:paraId="2BAB0D77" w14:textId="77777777" w:rsidR="004E5A39" w:rsidRPr="008E266D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306260" w14:textId="77777777" w:rsidR="004E5A39" w:rsidRPr="008E266D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AD60A" w14:textId="77777777" w:rsidR="004E5A39" w:rsidRPr="008E266D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8E266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8E266D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8E266D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77777777" w:rsidR="004E5A39" w:rsidRPr="008E266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E266D">
        <w:rPr>
          <w:rFonts w:cstheme="minorHAnsi"/>
          <w:b/>
          <w:sz w:val="24"/>
          <w:szCs w:val="24"/>
        </w:rPr>
        <w:t>ASPETTI DI QUALITA’</w:t>
      </w:r>
    </w:p>
    <w:p w14:paraId="1279A8C8" w14:textId="77777777" w:rsidR="004E5A39" w:rsidRPr="008E266D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8E266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E266D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8E266D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8E266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E266D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8E266D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8E266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E266D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8E266D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0403525" w14:textId="77777777" w:rsidR="004E5A39" w:rsidRPr="008E266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E266D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6A43C0F4" w14:textId="77777777" w:rsidR="004E5A39" w:rsidRPr="008E266D" w:rsidRDefault="004E5A39" w:rsidP="004E5A39">
      <w:pPr>
        <w:rPr>
          <w:rFonts w:cstheme="minorHAnsi"/>
          <w:sz w:val="24"/>
          <w:szCs w:val="24"/>
        </w:rPr>
      </w:pPr>
    </w:p>
    <w:p w14:paraId="444E3BDD" w14:textId="508EC2B6" w:rsidR="008E266D" w:rsidRPr="008E266D" w:rsidRDefault="008E266D">
      <w:pPr>
        <w:rPr>
          <w:rFonts w:cstheme="minorHAnsi"/>
          <w:sz w:val="24"/>
          <w:szCs w:val="24"/>
        </w:rPr>
      </w:pPr>
      <w:r w:rsidRPr="008E266D">
        <w:rPr>
          <w:rFonts w:cstheme="minorHAnsi"/>
          <w:sz w:val="24"/>
          <w:szCs w:val="24"/>
        </w:rPr>
        <w:br w:type="page"/>
      </w:r>
    </w:p>
    <w:p w14:paraId="7F2A67FE" w14:textId="77777777" w:rsidR="004E5A39" w:rsidRPr="00F905D6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F905D6">
        <w:rPr>
          <w:rFonts w:cstheme="minorHAnsi"/>
          <w:b/>
          <w:sz w:val="24"/>
          <w:szCs w:val="24"/>
        </w:rPr>
        <w:lastRenderedPageBreak/>
        <w:t>INTRODUZIONE</w:t>
      </w:r>
    </w:p>
    <w:p w14:paraId="18E48478" w14:textId="0542C532" w:rsidR="004E5A39" w:rsidRPr="00F905D6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905D6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proofErr w:type="spellStart"/>
      <w:r w:rsidR="00442E3F" w:rsidRPr="00F905D6">
        <w:rPr>
          <w:rFonts w:cstheme="minorHAnsi"/>
          <w:sz w:val="24"/>
          <w:szCs w:val="24"/>
        </w:rPr>
        <w:t>Olpha</w:t>
      </w:r>
      <w:proofErr w:type="spellEnd"/>
      <w:r w:rsidR="00442E3F" w:rsidRPr="00F905D6">
        <w:rPr>
          <w:rFonts w:cstheme="minorHAnsi"/>
          <w:sz w:val="24"/>
          <w:szCs w:val="24"/>
        </w:rPr>
        <w:t xml:space="preserve"> AS</w:t>
      </w:r>
      <w:r w:rsidR="00B1186F" w:rsidRPr="00F905D6">
        <w:rPr>
          <w:rFonts w:cstheme="minorHAnsi"/>
          <w:sz w:val="24"/>
          <w:szCs w:val="24"/>
        </w:rPr>
        <w:t xml:space="preserve"> </w:t>
      </w:r>
      <w:r w:rsidRPr="00F905D6">
        <w:rPr>
          <w:rFonts w:cstheme="minorHAnsi"/>
          <w:sz w:val="24"/>
          <w:szCs w:val="24"/>
        </w:rPr>
        <w:t xml:space="preserve">l’autorizzazione all’immissione in commercio (AIC) per il medicinale </w:t>
      </w:r>
      <w:proofErr w:type="spellStart"/>
      <w:r w:rsidR="00E022BA" w:rsidRPr="00F905D6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F905D6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F905D6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7170D7" w:rsidRPr="00F905D6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F905D6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442E3F" w:rsidRPr="00F905D6">
        <w:rPr>
          <w:rFonts w:eastAsia="Calibri" w:cstheme="minorHAnsi"/>
          <w:bCs/>
          <w:iCs/>
          <w:sz w:val="24"/>
          <w:szCs w:val="24"/>
          <w:lang w:eastAsia="it-IT"/>
        </w:rPr>
        <w:t>25 giugno 2025.</w:t>
      </w:r>
    </w:p>
    <w:p w14:paraId="11BAB98D" w14:textId="77777777" w:rsidR="004E5A39" w:rsidRPr="00F905D6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6D146A" w14:textId="2C58ED13" w:rsidR="004E5A39" w:rsidRPr="00F905D6" w:rsidRDefault="00E022BA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proofErr w:type="spellStart"/>
      <w:r w:rsidRPr="00F905D6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F905D6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F905D6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7170D7" w:rsidRPr="00F905D6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F905D6" w:rsidRPr="00F905D6">
        <w:rPr>
          <w:rFonts w:eastAsia="Calibri" w:cstheme="minorHAnsi"/>
          <w:sz w:val="24"/>
          <w:szCs w:val="24"/>
        </w:rPr>
        <w:t>può essere ottenuto solo su prescrizione da parte del medico (ricetta ripetibile).</w:t>
      </w:r>
    </w:p>
    <w:p w14:paraId="4AB4F735" w14:textId="77777777" w:rsidR="00EF6711" w:rsidRPr="00F905D6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7C77C9" w14:textId="673D23B3" w:rsidR="004E5A39" w:rsidRPr="00F905D6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905D6">
        <w:rPr>
          <w:rFonts w:cstheme="minorHAnsi"/>
          <w:sz w:val="24"/>
          <w:szCs w:val="24"/>
        </w:rPr>
        <w:t xml:space="preserve">Questa procedura è stata presentata ai sensi dell’art. </w:t>
      </w:r>
      <w:r w:rsidR="00F905D6">
        <w:rPr>
          <w:rFonts w:cstheme="minorHAnsi"/>
          <w:sz w:val="24"/>
          <w:szCs w:val="24"/>
        </w:rPr>
        <w:t>10(1)</w:t>
      </w:r>
      <w:r w:rsidRPr="00F905D6">
        <w:rPr>
          <w:rFonts w:cstheme="minorHAnsi"/>
          <w:sz w:val="24"/>
          <w:szCs w:val="24"/>
        </w:rPr>
        <w:t xml:space="preserve"> </w:t>
      </w:r>
      <w:proofErr w:type="spellStart"/>
      <w:r w:rsidR="00F905D6">
        <w:rPr>
          <w:rFonts w:cstheme="minorHAnsi"/>
          <w:i/>
          <w:sz w:val="24"/>
          <w:szCs w:val="24"/>
        </w:rPr>
        <w:t>g</w:t>
      </w:r>
      <w:r w:rsidR="00F905D6" w:rsidRPr="00F905D6">
        <w:rPr>
          <w:rFonts w:cstheme="minorHAnsi"/>
          <w:i/>
          <w:sz w:val="24"/>
          <w:szCs w:val="24"/>
        </w:rPr>
        <w:t>eneric</w:t>
      </w:r>
      <w:proofErr w:type="spellEnd"/>
      <w:r w:rsidR="00F905D6" w:rsidRPr="00F905D6">
        <w:rPr>
          <w:rFonts w:cstheme="minorHAnsi"/>
          <w:i/>
          <w:sz w:val="24"/>
          <w:szCs w:val="24"/>
        </w:rPr>
        <w:t xml:space="preserve"> </w:t>
      </w:r>
      <w:proofErr w:type="spellStart"/>
      <w:r w:rsidR="00F905D6" w:rsidRPr="00F905D6">
        <w:rPr>
          <w:rFonts w:cstheme="minorHAnsi"/>
          <w:i/>
          <w:sz w:val="24"/>
          <w:szCs w:val="24"/>
        </w:rPr>
        <w:t>application</w:t>
      </w:r>
      <w:proofErr w:type="spellEnd"/>
      <w:r w:rsidR="00F905D6" w:rsidRPr="00F905D6">
        <w:rPr>
          <w:rFonts w:cstheme="minorHAnsi"/>
          <w:sz w:val="24"/>
          <w:szCs w:val="24"/>
        </w:rPr>
        <w:t xml:space="preserve"> </w:t>
      </w:r>
      <w:r w:rsidRPr="00F905D6">
        <w:rPr>
          <w:rFonts w:cstheme="minorHAnsi"/>
          <w:sz w:val="24"/>
          <w:szCs w:val="24"/>
        </w:rPr>
        <w:t>della Direttiva 2001/83/EU s.m.i.</w:t>
      </w:r>
    </w:p>
    <w:p w14:paraId="110C1118" w14:textId="77777777" w:rsidR="0098470E" w:rsidRPr="00F905D6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16F88C9B" w14:textId="70E3E35F" w:rsidR="004E5A39" w:rsidRPr="00F905D6" w:rsidRDefault="00E022BA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proofErr w:type="spellStart"/>
      <w:r w:rsidRPr="00F905D6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F905D6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F905D6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42214D" w:rsidRPr="00F905D6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F905D6">
        <w:rPr>
          <w:rFonts w:eastAsia="Calibri" w:cstheme="minorHAnsi"/>
          <w:sz w:val="24"/>
          <w:szCs w:val="24"/>
          <w:lang w:eastAsia="it-IT"/>
        </w:rPr>
        <w:t>è un medicinale contenente un principio attivo</w:t>
      </w:r>
      <w:r w:rsidR="0099120C" w:rsidRPr="00F905D6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F905D6">
        <w:rPr>
          <w:rFonts w:eastAsia="Calibri" w:cstheme="minorHAnsi"/>
          <w:sz w:val="24"/>
          <w:szCs w:val="24"/>
          <w:lang w:eastAsia="it-IT"/>
        </w:rPr>
        <w:t>noto</w:t>
      </w:r>
      <w:r w:rsidR="0042214D" w:rsidRPr="00F905D6">
        <w:rPr>
          <w:rFonts w:eastAsia="Calibri" w:cstheme="minorHAnsi"/>
          <w:sz w:val="24"/>
          <w:szCs w:val="24"/>
          <w:lang w:eastAsia="it-IT"/>
        </w:rPr>
        <w:t xml:space="preserve"> </w:t>
      </w:r>
      <w:r w:rsidR="00F964BE" w:rsidRPr="00F905D6">
        <w:rPr>
          <w:rFonts w:eastAsia="Calibri" w:cstheme="minorHAnsi"/>
          <w:sz w:val="24"/>
          <w:szCs w:val="24"/>
          <w:lang w:eastAsia="it-IT"/>
        </w:rPr>
        <w:t xml:space="preserve">e </w:t>
      </w:r>
      <w:r w:rsidR="004E5A39" w:rsidRPr="00F905D6">
        <w:rPr>
          <w:rFonts w:eastAsia="Calibri" w:cstheme="minorHAnsi"/>
          <w:sz w:val="24"/>
          <w:szCs w:val="24"/>
          <w:lang w:eastAsia="it-IT"/>
        </w:rPr>
        <w:t>present</w:t>
      </w:r>
      <w:r w:rsidR="00C42AAC" w:rsidRPr="00F905D6">
        <w:rPr>
          <w:rFonts w:eastAsia="Calibri" w:cstheme="minorHAnsi"/>
          <w:sz w:val="24"/>
          <w:szCs w:val="24"/>
          <w:lang w:eastAsia="it-IT"/>
        </w:rPr>
        <w:t>e</w:t>
      </w:r>
      <w:r w:rsidR="004E5A39" w:rsidRPr="00F905D6">
        <w:rPr>
          <w:rFonts w:eastAsia="Calibri" w:cstheme="minorHAnsi"/>
          <w:sz w:val="24"/>
          <w:szCs w:val="24"/>
          <w:lang w:eastAsia="it-IT"/>
        </w:rPr>
        <w:t xml:space="preserve"> nel medicinale di riferimento </w:t>
      </w:r>
      <w:proofErr w:type="spellStart"/>
      <w:r w:rsidR="00F905D6" w:rsidRPr="00F905D6">
        <w:rPr>
          <w:rFonts w:eastAsia="Calibri" w:cstheme="minorHAnsi"/>
          <w:sz w:val="24"/>
          <w:szCs w:val="24"/>
          <w:lang w:eastAsia="it-IT"/>
        </w:rPr>
        <w:t>Imovane</w:t>
      </w:r>
      <w:proofErr w:type="spellEnd"/>
      <w:r w:rsidR="0042214D" w:rsidRPr="00F905D6">
        <w:rPr>
          <w:rFonts w:eastAsia="Calibri" w:cstheme="minorHAnsi"/>
          <w:sz w:val="24"/>
          <w:szCs w:val="24"/>
          <w:lang w:eastAsia="it-IT"/>
        </w:rPr>
        <w:t xml:space="preserve"> aut</w:t>
      </w:r>
      <w:r w:rsidR="004E5A39" w:rsidRPr="00F905D6">
        <w:rPr>
          <w:rFonts w:eastAsia="Calibri" w:cstheme="minorHAnsi"/>
          <w:sz w:val="24"/>
          <w:szCs w:val="24"/>
          <w:lang w:eastAsia="it-IT"/>
        </w:rPr>
        <w:t xml:space="preserve">orizzato in Italia </w:t>
      </w:r>
      <w:r w:rsidR="00F905D6" w:rsidRPr="00F905D6">
        <w:rPr>
          <w:rFonts w:eastAsia="Calibri" w:cstheme="minorHAnsi"/>
          <w:sz w:val="24"/>
          <w:szCs w:val="24"/>
          <w:lang w:eastAsia="it-IT"/>
        </w:rPr>
        <w:t xml:space="preserve">(7,5 mg) e nell’Unione Europea (3,75 mg) </w:t>
      </w:r>
      <w:r w:rsidR="004E5A39" w:rsidRPr="00F905D6">
        <w:rPr>
          <w:rFonts w:eastAsia="Calibri" w:cstheme="minorHAnsi"/>
          <w:sz w:val="24"/>
          <w:szCs w:val="24"/>
          <w:lang w:eastAsia="it-IT"/>
        </w:rPr>
        <w:t xml:space="preserve">da più di </w:t>
      </w:r>
      <w:r w:rsidR="007D2539" w:rsidRPr="00F905D6">
        <w:rPr>
          <w:rFonts w:eastAsia="Calibri" w:cstheme="minorHAnsi"/>
          <w:sz w:val="24"/>
          <w:szCs w:val="24"/>
          <w:lang w:eastAsia="it-IT"/>
        </w:rPr>
        <w:t xml:space="preserve">8 </w:t>
      </w:r>
      <w:r w:rsidR="004E5A39" w:rsidRPr="00F905D6">
        <w:rPr>
          <w:rFonts w:eastAsia="Calibri" w:cstheme="minorHAnsi"/>
          <w:sz w:val="24"/>
          <w:szCs w:val="24"/>
          <w:lang w:eastAsia="it-IT"/>
        </w:rPr>
        <w:t>anni</w:t>
      </w:r>
      <w:r w:rsidR="00F76F77" w:rsidRPr="00F905D6">
        <w:rPr>
          <w:rFonts w:eastAsia="Calibri" w:cstheme="minorHAnsi"/>
          <w:sz w:val="24"/>
          <w:szCs w:val="24"/>
          <w:lang w:eastAsia="it-IT"/>
        </w:rPr>
        <w:t>.</w:t>
      </w:r>
    </w:p>
    <w:p w14:paraId="5836C357" w14:textId="77777777" w:rsidR="004E5A39" w:rsidRPr="00F905D6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F0C0D0" w14:textId="4F2435AD" w:rsidR="00A01AB1" w:rsidRPr="009B18DE" w:rsidRDefault="00E022BA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proofErr w:type="spellStart"/>
      <w:r w:rsidRPr="009B18DE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9B18DE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9B18DE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4E5A39" w:rsidRPr="009B18DE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9B18DE">
        <w:rPr>
          <w:rFonts w:cstheme="minorHAnsi"/>
          <w:sz w:val="24"/>
          <w:szCs w:val="24"/>
        </w:rPr>
        <w:t>il cui c</w:t>
      </w:r>
      <w:r w:rsidR="004E5A39" w:rsidRPr="009B18DE">
        <w:rPr>
          <w:rFonts w:cstheme="minorHAnsi"/>
          <w:iCs/>
          <w:sz w:val="24"/>
          <w:szCs w:val="24"/>
        </w:rPr>
        <w:t xml:space="preserve">odice ATC </w:t>
      </w:r>
      <w:r w:rsidR="004E5A39" w:rsidRPr="009B18DE">
        <w:rPr>
          <w:rFonts w:eastAsia="Calibri" w:cstheme="minorHAnsi"/>
          <w:sz w:val="24"/>
          <w:szCs w:val="24"/>
          <w:lang w:eastAsia="it-IT"/>
        </w:rPr>
        <w:t xml:space="preserve">è </w:t>
      </w:r>
      <w:r w:rsidR="00F905D6" w:rsidRPr="009B18DE">
        <w:rPr>
          <w:rFonts w:eastAsia="Calibri" w:cstheme="minorHAnsi"/>
          <w:sz w:val="24"/>
          <w:szCs w:val="24"/>
          <w:lang w:eastAsia="it-IT"/>
        </w:rPr>
        <w:t>N05CF01</w:t>
      </w:r>
      <w:r w:rsidR="004E5A39" w:rsidRPr="009B18DE">
        <w:rPr>
          <w:rFonts w:eastAsia="Calibri" w:cstheme="minorHAnsi"/>
          <w:sz w:val="24"/>
          <w:szCs w:val="24"/>
          <w:lang w:eastAsia="it-IT"/>
        </w:rPr>
        <w:t xml:space="preserve">, contiene </w:t>
      </w:r>
      <w:r w:rsidR="00C42AAC" w:rsidRPr="009B18DE">
        <w:rPr>
          <w:rFonts w:eastAsia="Calibri" w:cstheme="minorHAnsi"/>
          <w:sz w:val="24"/>
          <w:szCs w:val="24"/>
          <w:lang w:eastAsia="it-IT"/>
        </w:rPr>
        <w:t>il</w:t>
      </w:r>
      <w:r w:rsidR="004E5A39" w:rsidRPr="009B18DE">
        <w:rPr>
          <w:rFonts w:eastAsia="Calibri" w:cstheme="minorHAnsi"/>
          <w:sz w:val="24"/>
          <w:szCs w:val="24"/>
          <w:lang w:eastAsia="it-IT"/>
        </w:rPr>
        <w:t xml:space="preserve"> principi</w:t>
      </w:r>
      <w:r w:rsidR="00C42AAC" w:rsidRPr="009B18DE">
        <w:rPr>
          <w:rFonts w:eastAsia="Calibri" w:cstheme="minorHAnsi"/>
          <w:sz w:val="24"/>
          <w:szCs w:val="24"/>
          <w:lang w:eastAsia="it-IT"/>
        </w:rPr>
        <w:t>o</w:t>
      </w:r>
      <w:r w:rsidR="004E5A39" w:rsidRPr="009B18DE">
        <w:rPr>
          <w:rFonts w:eastAsia="Calibri" w:cstheme="minorHAnsi"/>
          <w:sz w:val="24"/>
          <w:szCs w:val="24"/>
          <w:lang w:eastAsia="it-IT"/>
        </w:rPr>
        <w:t xml:space="preserve"> attiv</w:t>
      </w:r>
      <w:r w:rsidR="00C42AAC" w:rsidRPr="009B18DE">
        <w:rPr>
          <w:rFonts w:eastAsia="Calibri" w:cstheme="minorHAnsi"/>
          <w:sz w:val="24"/>
          <w:szCs w:val="24"/>
          <w:lang w:eastAsia="it-IT"/>
        </w:rPr>
        <w:t>o</w:t>
      </w:r>
      <w:r w:rsidR="004E5A39" w:rsidRPr="009B18DE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F905D6" w:rsidRPr="009B18DE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F905D6" w:rsidRPr="009B18DE">
        <w:rPr>
          <w:rFonts w:eastAsia="Calibri" w:cstheme="minorHAnsi"/>
          <w:sz w:val="24"/>
          <w:szCs w:val="24"/>
          <w:lang w:eastAsia="it-IT"/>
        </w:rPr>
        <w:t xml:space="preserve"> che ha un'azione agonista specifica su un recettore centrale facente parte del complesso recettoriale macromolecolare GABA-OMEGA, noto anche come BZ1 e BZ2, che modula l'apertura del canale del cloruro.</w:t>
      </w:r>
    </w:p>
    <w:p w14:paraId="7A21CE17" w14:textId="77777777" w:rsidR="00EF6711" w:rsidRPr="009B18DE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</w:p>
    <w:p w14:paraId="7DEC4316" w14:textId="07A21FD9" w:rsidR="00265B61" w:rsidRPr="009B18DE" w:rsidRDefault="00E022BA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proofErr w:type="spellStart"/>
      <w:r w:rsidRPr="009B18DE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9B18DE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9B18DE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42214D" w:rsidRPr="009B18DE">
        <w:rPr>
          <w:rFonts w:eastAsia="Calibri" w:cstheme="minorHAnsi"/>
          <w:sz w:val="24"/>
          <w:szCs w:val="24"/>
          <w:lang w:eastAsia="it-IT"/>
        </w:rPr>
        <w:t xml:space="preserve"> </w:t>
      </w:r>
      <w:r w:rsidR="00265B61" w:rsidRPr="009B18DE">
        <w:rPr>
          <w:rFonts w:eastAsia="Calibri" w:cstheme="minorHAnsi"/>
          <w:sz w:val="24"/>
          <w:szCs w:val="24"/>
          <w:lang w:eastAsia="it-IT"/>
        </w:rPr>
        <w:t>è utilizzato per</w:t>
      </w:r>
      <w:r w:rsidR="00F905D6" w:rsidRPr="009B18DE">
        <w:rPr>
          <w:rFonts w:eastAsia="Calibri" w:cstheme="minorHAnsi"/>
          <w:sz w:val="24"/>
          <w:szCs w:val="24"/>
          <w:lang w:eastAsia="it-IT"/>
        </w:rPr>
        <w:t xml:space="preserve"> il trattamento a breve termine dell’insonnia negli adulti.</w:t>
      </w:r>
    </w:p>
    <w:p w14:paraId="6BD69136" w14:textId="77777777" w:rsidR="00265B61" w:rsidRPr="009B18DE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51D194AC" w14:textId="61F92EB8" w:rsidR="0042214D" w:rsidRPr="009B18DE" w:rsidRDefault="0042214D" w:rsidP="0042214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B18DE">
        <w:rPr>
          <w:rFonts w:cstheme="minorHAnsi"/>
          <w:sz w:val="24"/>
          <w:szCs w:val="24"/>
        </w:rPr>
        <w:t xml:space="preserve">La richiesta di AIC è supportata da uno studio di bioequivalenza che ha confrontato i profili farmacocinetici del medicinale test </w:t>
      </w:r>
      <w:proofErr w:type="spellStart"/>
      <w:r w:rsidR="00E022BA" w:rsidRPr="009B18DE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9B18DE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9B18DE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Pr="009B18DE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9B18DE">
        <w:rPr>
          <w:rFonts w:cstheme="minorHAnsi"/>
          <w:sz w:val="24"/>
          <w:szCs w:val="24"/>
        </w:rPr>
        <w:t xml:space="preserve">e quelli del medicinale di riferimento </w:t>
      </w:r>
      <w:proofErr w:type="spellStart"/>
      <w:r w:rsidR="004D3782" w:rsidRPr="009B18DE">
        <w:rPr>
          <w:rFonts w:cstheme="minorHAnsi"/>
          <w:sz w:val="24"/>
          <w:szCs w:val="24"/>
        </w:rPr>
        <w:t>Imovane</w:t>
      </w:r>
      <w:proofErr w:type="spellEnd"/>
      <w:r w:rsidRPr="009B18DE">
        <w:rPr>
          <w:rFonts w:cstheme="minorHAnsi"/>
          <w:sz w:val="24"/>
          <w:szCs w:val="24"/>
        </w:rPr>
        <w:t xml:space="preserve"> autorizzato in Italia</w:t>
      </w:r>
      <w:r w:rsidR="00F964BE" w:rsidRPr="009B18DE">
        <w:rPr>
          <w:rFonts w:cstheme="minorHAnsi"/>
          <w:sz w:val="24"/>
          <w:szCs w:val="24"/>
        </w:rPr>
        <w:t xml:space="preserve"> </w:t>
      </w:r>
      <w:r w:rsidR="004D3782" w:rsidRPr="009B18DE">
        <w:rPr>
          <w:rFonts w:cstheme="minorHAnsi"/>
          <w:sz w:val="24"/>
          <w:szCs w:val="24"/>
        </w:rPr>
        <w:t xml:space="preserve">e in </w:t>
      </w:r>
      <w:r w:rsidR="004D3782" w:rsidRPr="009B18DE">
        <w:rPr>
          <w:rFonts w:eastAsia="Calibri" w:cstheme="minorHAnsi"/>
          <w:sz w:val="24"/>
          <w:szCs w:val="24"/>
          <w:lang w:eastAsia="it-IT"/>
        </w:rPr>
        <w:t>UE.</w:t>
      </w:r>
    </w:p>
    <w:p w14:paraId="70417A0D" w14:textId="0EA9FCCA" w:rsidR="0042214D" w:rsidRPr="009B18DE" w:rsidRDefault="0042214D" w:rsidP="0042214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B18DE">
        <w:rPr>
          <w:rFonts w:cstheme="minorHAnsi"/>
          <w:sz w:val="24"/>
          <w:szCs w:val="24"/>
        </w:rPr>
        <w:t>Lo studio di bioequivalenza è stato condotto in conformità alle linee guida di Buona Pratica Clinica (</w:t>
      </w:r>
      <w:r w:rsidRPr="009B18DE">
        <w:rPr>
          <w:rFonts w:cstheme="minorHAnsi"/>
          <w:i/>
          <w:sz w:val="24"/>
          <w:szCs w:val="24"/>
        </w:rPr>
        <w:t>Good Clinical Practice</w:t>
      </w:r>
      <w:r w:rsidRPr="009B18DE">
        <w:rPr>
          <w:rFonts w:cstheme="minorHAnsi"/>
          <w:sz w:val="24"/>
          <w:szCs w:val="24"/>
        </w:rPr>
        <w:t xml:space="preserve"> - GCP).</w:t>
      </w:r>
    </w:p>
    <w:p w14:paraId="1AF43053" w14:textId="77777777" w:rsidR="00F964BE" w:rsidRPr="009B18DE" w:rsidRDefault="00F964BE" w:rsidP="0042214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09EFB32" w14:textId="7473C08B" w:rsidR="00983038" w:rsidRPr="009B18DE" w:rsidRDefault="00983038" w:rsidP="0098303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B18DE">
        <w:rPr>
          <w:rFonts w:cstheme="minorHAnsi"/>
          <w:sz w:val="24"/>
          <w:szCs w:val="24"/>
        </w:rPr>
        <w:t xml:space="preserve">Per il dosaggio da </w:t>
      </w:r>
      <w:r w:rsidR="00DA68F0" w:rsidRPr="009B18DE">
        <w:rPr>
          <w:rFonts w:cstheme="minorHAnsi"/>
          <w:sz w:val="24"/>
          <w:szCs w:val="24"/>
        </w:rPr>
        <w:t>3,75 mg</w:t>
      </w:r>
      <w:r w:rsidRPr="009B18DE">
        <w:rPr>
          <w:rFonts w:cstheme="minorHAnsi"/>
          <w:sz w:val="24"/>
          <w:szCs w:val="24"/>
        </w:rPr>
        <w:t xml:space="preserve"> è stata dimostrata l’equivalenza farmaceutica tramite studi comparativi di equivalenza farmaceutica in accor</w:t>
      </w:r>
      <w:r w:rsidR="00DA68F0" w:rsidRPr="009B18DE">
        <w:rPr>
          <w:rFonts w:cstheme="minorHAnsi"/>
          <w:sz w:val="24"/>
          <w:szCs w:val="24"/>
        </w:rPr>
        <w:t>do alle linee guida applicabili.</w:t>
      </w:r>
    </w:p>
    <w:p w14:paraId="13289479" w14:textId="77777777" w:rsidR="00CC52A3" w:rsidRPr="009B18DE" w:rsidRDefault="00CC52A3" w:rsidP="0042214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F682F3" w14:textId="77777777" w:rsidR="004E5A39" w:rsidRPr="00F626B0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B18DE">
        <w:rPr>
          <w:rFonts w:cstheme="minorHAnsi"/>
          <w:sz w:val="24"/>
          <w:szCs w:val="24"/>
        </w:rPr>
        <w:t>Le officine coinvolte nella produzione sono conformi alle linee guida</w:t>
      </w:r>
      <w:r w:rsidRPr="00F626B0">
        <w:rPr>
          <w:rFonts w:cstheme="minorHAnsi"/>
          <w:sz w:val="24"/>
          <w:szCs w:val="24"/>
        </w:rPr>
        <w:t xml:space="preserve"> di Buona Pratica di Fabbricazione (</w:t>
      </w:r>
      <w:r w:rsidRPr="00F626B0">
        <w:rPr>
          <w:rFonts w:cstheme="minorHAnsi"/>
          <w:i/>
          <w:sz w:val="24"/>
          <w:szCs w:val="24"/>
        </w:rPr>
        <w:t>Good Manufacturing Practice</w:t>
      </w:r>
      <w:r w:rsidRPr="00F626B0">
        <w:rPr>
          <w:rFonts w:cstheme="minorHAnsi"/>
          <w:sz w:val="24"/>
          <w:szCs w:val="24"/>
        </w:rPr>
        <w:t xml:space="preserve"> - GMP). </w:t>
      </w:r>
    </w:p>
    <w:p w14:paraId="330A8370" w14:textId="77777777" w:rsidR="004E5A39" w:rsidRPr="00F626B0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5612D64" w14:textId="1432859D" w:rsidR="00B862CA" w:rsidRPr="00DA68F0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626B0"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r w:rsidR="00F626B0" w:rsidRPr="00F626B0">
        <w:rPr>
          <w:rFonts w:cstheme="minorHAnsi"/>
          <w:sz w:val="24"/>
          <w:szCs w:val="24"/>
        </w:rPr>
        <w:t>È</w:t>
      </w:r>
      <w:r w:rsidRPr="00F626B0">
        <w:rPr>
          <w:rFonts w:cstheme="minorHAnsi"/>
          <w:sz w:val="24"/>
          <w:szCs w:val="24"/>
        </w:rPr>
        <w:t xml:space="preserve"> stato presentato un Piano di gestione del rischio (</w:t>
      </w:r>
      <w:r w:rsidRPr="00F626B0">
        <w:rPr>
          <w:rFonts w:cstheme="minorHAnsi"/>
          <w:i/>
          <w:sz w:val="24"/>
          <w:szCs w:val="24"/>
        </w:rPr>
        <w:t>Risk Management Plan</w:t>
      </w:r>
      <w:r w:rsidRPr="00F626B0">
        <w:rPr>
          <w:rFonts w:cstheme="minorHAnsi"/>
          <w:sz w:val="24"/>
          <w:szCs w:val="24"/>
        </w:rPr>
        <w:t xml:space="preserve"> – RMP) </w:t>
      </w:r>
      <w:r w:rsidRPr="00DA68F0">
        <w:rPr>
          <w:rFonts w:cstheme="minorHAnsi"/>
          <w:sz w:val="24"/>
          <w:szCs w:val="24"/>
        </w:rPr>
        <w:t>accettabile.</w:t>
      </w:r>
    </w:p>
    <w:p w14:paraId="687EBDAB" w14:textId="77777777" w:rsidR="009B18DE" w:rsidRPr="009B18DE" w:rsidRDefault="009B18D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1716AA" w14:textId="3A2CECA1" w:rsidR="004E5A39" w:rsidRPr="00DA68F0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B18DE">
        <w:rPr>
          <w:rFonts w:cstheme="minorHAnsi"/>
          <w:sz w:val="24"/>
          <w:szCs w:val="24"/>
        </w:rPr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E022BA" w:rsidRPr="009B18DE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9B18DE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9B18DE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A046AC" w:rsidRPr="009B18DE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9B18DE">
        <w:rPr>
          <w:rFonts w:cstheme="minorHAnsi"/>
          <w:sz w:val="24"/>
          <w:szCs w:val="24"/>
        </w:rPr>
        <w:t xml:space="preserve">contiene </w:t>
      </w:r>
      <w:r w:rsidR="00265B61" w:rsidRPr="009B18DE">
        <w:rPr>
          <w:rFonts w:cstheme="minorHAnsi"/>
          <w:sz w:val="24"/>
          <w:szCs w:val="24"/>
        </w:rPr>
        <w:t xml:space="preserve">un </w:t>
      </w:r>
      <w:r w:rsidRPr="009B18DE">
        <w:rPr>
          <w:rFonts w:cstheme="minorHAnsi"/>
          <w:sz w:val="24"/>
          <w:szCs w:val="24"/>
        </w:rPr>
        <w:t>principi</w:t>
      </w:r>
      <w:r w:rsidR="00265B61" w:rsidRPr="009B18DE">
        <w:rPr>
          <w:rFonts w:cstheme="minorHAnsi"/>
          <w:sz w:val="24"/>
          <w:szCs w:val="24"/>
        </w:rPr>
        <w:t>o</w:t>
      </w:r>
      <w:r w:rsidRPr="009B18DE">
        <w:rPr>
          <w:rFonts w:cstheme="minorHAnsi"/>
          <w:sz w:val="24"/>
          <w:szCs w:val="24"/>
        </w:rPr>
        <w:t xml:space="preserve"> attiv</w:t>
      </w:r>
      <w:r w:rsidR="00265B61" w:rsidRPr="009B18DE">
        <w:rPr>
          <w:rFonts w:cstheme="minorHAnsi"/>
          <w:sz w:val="24"/>
          <w:szCs w:val="24"/>
        </w:rPr>
        <w:t>o</w:t>
      </w:r>
      <w:r w:rsidRPr="009B18DE">
        <w:rPr>
          <w:rFonts w:cstheme="minorHAnsi"/>
          <w:sz w:val="24"/>
          <w:szCs w:val="24"/>
        </w:rPr>
        <w:t xml:space="preserve"> not</w:t>
      </w:r>
      <w:r w:rsidR="00265B61" w:rsidRPr="009B18DE">
        <w:rPr>
          <w:rFonts w:cstheme="minorHAnsi"/>
          <w:sz w:val="24"/>
          <w:szCs w:val="24"/>
        </w:rPr>
        <w:t>o</w:t>
      </w:r>
      <w:r w:rsidRPr="009B18DE">
        <w:rPr>
          <w:rFonts w:cstheme="minorHAnsi"/>
          <w:sz w:val="24"/>
          <w:szCs w:val="24"/>
        </w:rPr>
        <w:t xml:space="preserve"> present</w:t>
      </w:r>
      <w:r w:rsidR="00265B61" w:rsidRPr="009B18DE">
        <w:rPr>
          <w:rFonts w:cstheme="minorHAnsi"/>
          <w:sz w:val="24"/>
          <w:szCs w:val="24"/>
        </w:rPr>
        <w:t>e</w:t>
      </w:r>
      <w:r w:rsidRPr="009B18DE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4CCD6095" w14:textId="77777777" w:rsidR="009F584E" w:rsidRPr="00DA68F0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62CD59" w14:textId="77777777" w:rsidR="00747E46" w:rsidRPr="00371114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6CCC17" w14:textId="77777777" w:rsidR="004E5A39" w:rsidRPr="00371114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71114">
        <w:rPr>
          <w:rFonts w:cstheme="minorHAnsi"/>
          <w:b/>
          <w:sz w:val="24"/>
          <w:szCs w:val="24"/>
        </w:rPr>
        <w:t>ASPETTI DI QUALITA’</w:t>
      </w:r>
    </w:p>
    <w:p w14:paraId="69FBF33E" w14:textId="77777777" w:rsidR="00371114" w:rsidRPr="007856EC" w:rsidRDefault="00371114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D0E7D57" w14:textId="75B39374" w:rsidR="004E5A39" w:rsidRPr="007856E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856EC">
        <w:rPr>
          <w:rFonts w:cstheme="minorHAnsi"/>
          <w:b/>
          <w:sz w:val="24"/>
          <w:szCs w:val="24"/>
        </w:rPr>
        <w:t xml:space="preserve">II.1 PRINCIPIO ATTIVO </w:t>
      </w:r>
      <w:proofErr w:type="spellStart"/>
      <w:r w:rsidR="00371114" w:rsidRPr="007856EC">
        <w:rPr>
          <w:rFonts w:cstheme="minorHAnsi"/>
          <w:b/>
          <w:sz w:val="24"/>
          <w:szCs w:val="24"/>
        </w:rPr>
        <w:t>Zopiclone</w:t>
      </w:r>
      <w:proofErr w:type="spellEnd"/>
    </w:p>
    <w:p w14:paraId="7A5AE038" w14:textId="0F299367" w:rsidR="007856EC" w:rsidRPr="007856EC" w:rsidRDefault="00B51571" w:rsidP="007856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7856EC">
        <w:rPr>
          <w:rFonts w:cstheme="minorHAnsi"/>
          <w:sz w:val="24"/>
          <w:szCs w:val="24"/>
          <w:u w:val="single"/>
        </w:rPr>
        <w:t>Denominazione</w:t>
      </w:r>
      <w:r w:rsidR="004E5A39" w:rsidRPr="007856EC">
        <w:rPr>
          <w:rFonts w:cstheme="minorHAnsi"/>
          <w:sz w:val="24"/>
          <w:szCs w:val="24"/>
          <w:u w:val="single"/>
        </w:rPr>
        <w:t xml:space="preserve"> chimico</w:t>
      </w:r>
      <w:r w:rsidR="000E4494" w:rsidRPr="007856EC">
        <w:rPr>
          <w:rFonts w:cstheme="minorHAnsi"/>
          <w:i/>
          <w:iCs/>
          <w:sz w:val="24"/>
          <w:szCs w:val="24"/>
        </w:rPr>
        <w:t xml:space="preserve"> </w:t>
      </w:r>
      <w:r w:rsidR="007856EC" w:rsidRPr="007856EC">
        <w:rPr>
          <w:rFonts w:cstheme="minorHAnsi"/>
          <w:sz w:val="24"/>
          <w:szCs w:val="24"/>
        </w:rPr>
        <w:t>(</w:t>
      </w:r>
      <w:r w:rsidR="007856EC" w:rsidRPr="007856EC">
        <w:rPr>
          <w:rFonts w:cstheme="minorHAnsi"/>
          <w:i/>
          <w:iCs/>
          <w:sz w:val="24"/>
          <w:szCs w:val="24"/>
        </w:rPr>
        <w:t xml:space="preserve">5RS)-6-( </w:t>
      </w:r>
      <w:r w:rsidR="007856EC" w:rsidRPr="007856EC">
        <w:rPr>
          <w:rFonts w:cstheme="minorHAnsi"/>
          <w:sz w:val="24"/>
          <w:szCs w:val="24"/>
        </w:rPr>
        <w:t xml:space="preserve">5-chloropyridin-2-yl)-7-oxo-6,7-dihydro-5H-pyrrolo[3 </w:t>
      </w:r>
      <w:r w:rsidR="007856EC" w:rsidRPr="007856EC">
        <w:rPr>
          <w:rFonts w:cstheme="minorHAnsi"/>
          <w:i/>
          <w:iCs/>
          <w:sz w:val="24"/>
          <w:szCs w:val="24"/>
        </w:rPr>
        <w:t>,4-b]</w:t>
      </w:r>
    </w:p>
    <w:p w14:paraId="2FEB5D4E" w14:textId="0B58B1E4" w:rsidR="004E5A39" w:rsidRPr="007856EC" w:rsidRDefault="007856EC" w:rsidP="007856E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7856EC">
        <w:rPr>
          <w:rFonts w:cstheme="minorHAnsi"/>
          <w:sz w:val="24"/>
          <w:szCs w:val="24"/>
        </w:rPr>
        <w:t>pyrazin-5-yl 4-methylpiperazine-1-carboxylate</w:t>
      </w:r>
    </w:p>
    <w:p w14:paraId="736745FC" w14:textId="3BB850C9" w:rsidR="004E5A39" w:rsidRPr="009C7BA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856EC">
        <w:rPr>
          <w:rFonts w:cstheme="minorHAnsi"/>
          <w:sz w:val="24"/>
          <w:szCs w:val="24"/>
          <w:u w:val="single"/>
        </w:rPr>
        <w:t>Struttura</w:t>
      </w:r>
      <w:r w:rsidRPr="007856EC">
        <w:rPr>
          <w:rFonts w:cstheme="minorHAnsi"/>
          <w:sz w:val="24"/>
          <w:szCs w:val="24"/>
        </w:rPr>
        <w:t>:</w:t>
      </w:r>
    </w:p>
    <w:p w14:paraId="28FFF980" w14:textId="3A91B62D" w:rsidR="007856EC" w:rsidRPr="009C7BAD" w:rsidRDefault="007856EC" w:rsidP="007856E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C7BAD">
        <w:rPr>
          <w:noProof/>
          <w:lang w:eastAsia="it-IT"/>
        </w:rPr>
        <w:lastRenderedPageBreak/>
        <w:drawing>
          <wp:inline distT="0" distB="0" distL="0" distR="0" wp14:anchorId="0306C0C1" wp14:editId="72D52E97">
            <wp:extent cx="2279073" cy="898131"/>
            <wp:effectExtent l="0" t="0" r="698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1745" cy="90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74799" w14:textId="77777777" w:rsidR="004E5A39" w:rsidRPr="009C7BAD" w:rsidRDefault="004E5A39" w:rsidP="00EF6711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</w:p>
    <w:p w14:paraId="35D29F89" w14:textId="39E01C9E" w:rsidR="004E5A39" w:rsidRPr="009C7BA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7BAD">
        <w:rPr>
          <w:rFonts w:cstheme="minorHAnsi"/>
          <w:sz w:val="24"/>
          <w:szCs w:val="24"/>
          <w:u w:val="single"/>
        </w:rPr>
        <w:t>Formula molecolare</w:t>
      </w:r>
      <w:r w:rsidRPr="009C7BAD">
        <w:rPr>
          <w:rFonts w:cstheme="minorHAnsi"/>
          <w:sz w:val="24"/>
          <w:szCs w:val="24"/>
        </w:rPr>
        <w:t>:</w:t>
      </w:r>
      <w:r w:rsidRPr="009C7BAD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7856EC" w:rsidRPr="009C7BAD">
        <w:rPr>
          <w:rFonts w:cstheme="minorHAnsi"/>
          <w:sz w:val="24"/>
          <w:szCs w:val="24"/>
        </w:rPr>
        <w:t>C</w:t>
      </w:r>
      <w:r w:rsidR="007856EC" w:rsidRPr="009C7BAD">
        <w:rPr>
          <w:rFonts w:cstheme="minorHAnsi"/>
          <w:sz w:val="24"/>
          <w:szCs w:val="24"/>
          <w:vertAlign w:val="subscript"/>
        </w:rPr>
        <w:t>17</w:t>
      </w:r>
      <w:r w:rsidR="007856EC" w:rsidRPr="009C7BAD">
        <w:rPr>
          <w:rFonts w:cstheme="minorHAnsi"/>
          <w:sz w:val="24"/>
          <w:szCs w:val="24"/>
        </w:rPr>
        <w:t>H</w:t>
      </w:r>
      <w:r w:rsidR="007856EC" w:rsidRPr="009C7BAD">
        <w:rPr>
          <w:rFonts w:cstheme="minorHAnsi"/>
          <w:sz w:val="24"/>
          <w:szCs w:val="24"/>
          <w:vertAlign w:val="subscript"/>
        </w:rPr>
        <w:t>17</w:t>
      </w:r>
      <w:r w:rsidR="007856EC" w:rsidRPr="009C7BAD">
        <w:rPr>
          <w:rFonts w:cstheme="minorHAnsi"/>
          <w:sz w:val="24"/>
          <w:szCs w:val="24"/>
        </w:rPr>
        <w:t>ClN</w:t>
      </w:r>
      <w:r w:rsidR="007856EC" w:rsidRPr="009C7BAD">
        <w:rPr>
          <w:rFonts w:cstheme="minorHAnsi"/>
          <w:sz w:val="24"/>
          <w:szCs w:val="24"/>
          <w:vertAlign w:val="subscript"/>
        </w:rPr>
        <w:t>6</w:t>
      </w:r>
      <w:r w:rsidR="007856EC" w:rsidRPr="009C7BAD">
        <w:rPr>
          <w:rFonts w:cstheme="minorHAnsi"/>
          <w:sz w:val="24"/>
          <w:szCs w:val="24"/>
        </w:rPr>
        <w:t>0</w:t>
      </w:r>
      <w:r w:rsidR="007856EC" w:rsidRPr="009C7BAD">
        <w:rPr>
          <w:rFonts w:cstheme="minorHAnsi"/>
          <w:sz w:val="24"/>
          <w:szCs w:val="24"/>
          <w:vertAlign w:val="subscript"/>
        </w:rPr>
        <w:t>3</w:t>
      </w:r>
    </w:p>
    <w:p w14:paraId="6C3F1446" w14:textId="41323E9E" w:rsidR="004E5A39" w:rsidRPr="009C7BA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7BAD">
        <w:rPr>
          <w:rFonts w:cstheme="minorHAnsi"/>
          <w:sz w:val="24"/>
          <w:szCs w:val="24"/>
          <w:u w:val="single"/>
        </w:rPr>
        <w:t>Peso molecolare</w:t>
      </w:r>
      <w:r w:rsidRPr="009C7BAD">
        <w:rPr>
          <w:rFonts w:cstheme="minorHAnsi"/>
          <w:sz w:val="24"/>
          <w:szCs w:val="24"/>
        </w:rPr>
        <w:t>:</w:t>
      </w:r>
      <w:r w:rsidR="009C7BAD" w:rsidRPr="009C7BAD">
        <w:rPr>
          <w:rFonts w:cstheme="minorHAnsi"/>
          <w:sz w:val="24"/>
          <w:szCs w:val="24"/>
          <w:shd w:val="clear" w:color="auto" w:fill="F9F9F9"/>
        </w:rPr>
        <w:t xml:space="preserve"> </w:t>
      </w:r>
      <w:r w:rsidR="009C7BAD" w:rsidRPr="009C7BAD">
        <w:rPr>
          <w:rFonts w:cstheme="minorHAnsi"/>
          <w:sz w:val="24"/>
          <w:szCs w:val="24"/>
        </w:rPr>
        <w:t>388.8</w:t>
      </w:r>
      <w:r w:rsidR="009A23DE" w:rsidRPr="009C7BAD">
        <w:rPr>
          <w:rFonts w:cstheme="minorHAnsi"/>
          <w:sz w:val="24"/>
          <w:szCs w:val="24"/>
        </w:rPr>
        <w:t xml:space="preserve"> </w:t>
      </w:r>
      <w:r w:rsidRPr="009C7BAD"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4AF9A289" w14:textId="568DE27C" w:rsidR="004E5A39" w:rsidRPr="009C7BA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7BAD">
        <w:rPr>
          <w:rFonts w:cstheme="minorHAnsi"/>
          <w:sz w:val="24"/>
          <w:szCs w:val="24"/>
          <w:u w:val="single"/>
        </w:rPr>
        <w:t>CAS</w:t>
      </w:r>
      <w:r w:rsidRPr="009C7BAD">
        <w:rPr>
          <w:rFonts w:cstheme="minorHAnsi"/>
          <w:sz w:val="24"/>
          <w:szCs w:val="24"/>
        </w:rPr>
        <w:t xml:space="preserve">: </w:t>
      </w:r>
      <w:r w:rsidR="00CC52A3" w:rsidRPr="009C7BAD">
        <w:rPr>
          <w:rFonts w:cstheme="minorHAnsi"/>
          <w:sz w:val="24"/>
          <w:szCs w:val="24"/>
        </w:rPr>
        <w:t>[</w:t>
      </w:r>
      <w:r w:rsidR="007856EC" w:rsidRPr="009C7BAD">
        <w:rPr>
          <w:rFonts w:cstheme="minorHAnsi"/>
          <w:sz w:val="24"/>
          <w:szCs w:val="24"/>
        </w:rPr>
        <w:t>43200-80-2</w:t>
      </w:r>
      <w:r w:rsidR="00CC52A3" w:rsidRPr="009C7BAD">
        <w:rPr>
          <w:rFonts w:cstheme="minorHAnsi"/>
          <w:sz w:val="24"/>
          <w:szCs w:val="24"/>
        </w:rPr>
        <w:t>]</w:t>
      </w:r>
    </w:p>
    <w:p w14:paraId="44248F9E" w14:textId="77777777" w:rsidR="004E5A39" w:rsidRPr="00CF784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6E9A47C5" w14:textId="77B53F84" w:rsidR="000B7AC8" w:rsidRPr="00CF7841" w:rsidRDefault="000B7AC8" w:rsidP="000B7A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F7841">
        <w:rPr>
          <w:rFonts w:cstheme="minorHAnsi"/>
          <w:sz w:val="24"/>
          <w:szCs w:val="24"/>
        </w:rPr>
        <w:t>Il principio attivo è presente in Farmacopea Europea e il Direttorato Europeo per la Qualità dei Medicinali (</w:t>
      </w:r>
      <w:proofErr w:type="spellStart"/>
      <w:r w:rsidRPr="00CF7841">
        <w:rPr>
          <w:rFonts w:cstheme="minorHAnsi"/>
          <w:i/>
          <w:sz w:val="24"/>
          <w:szCs w:val="24"/>
        </w:rPr>
        <w:t>European</w:t>
      </w:r>
      <w:proofErr w:type="spellEnd"/>
      <w:r w:rsidRPr="00CF7841">
        <w:rPr>
          <w:rFonts w:cstheme="minorHAnsi"/>
          <w:i/>
          <w:sz w:val="24"/>
          <w:szCs w:val="24"/>
        </w:rPr>
        <w:t xml:space="preserve"> </w:t>
      </w:r>
      <w:proofErr w:type="spellStart"/>
      <w:r w:rsidRPr="00CF7841">
        <w:rPr>
          <w:rFonts w:cstheme="minorHAnsi"/>
          <w:i/>
          <w:sz w:val="24"/>
          <w:szCs w:val="24"/>
        </w:rPr>
        <w:t>Directorate</w:t>
      </w:r>
      <w:proofErr w:type="spellEnd"/>
      <w:r w:rsidRPr="00CF7841">
        <w:rPr>
          <w:rFonts w:cstheme="minorHAnsi"/>
          <w:i/>
          <w:sz w:val="24"/>
          <w:szCs w:val="24"/>
        </w:rPr>
        <w:t xml:space="preserve"> for </w:t>
      </w:r>
      <w:r w:rsidR="00747E46" w:rsidRPr="00CF7841">
        <w:rPr>
          <w:rFonts w:cstheme="minorHAnsi"/>
          <w:i/>
          <w:sz w:val="24"/>
          <w:szCs w:val="24"/>
        </w:rPr>
        <w:t xml:space="preserve">the </w:t>
      </w:r>
      <w:proofErr w:type="spellStart"/>
      <w:r w:rsidRPr="00CF7841">
        <w:rPr>
          <w:rFonts w:cstheme="minorHAnsi"/>
          <w:i/>
          <w:sz w:val="24"/>
          <w:szCs w:val="24"/>
        </w:rPr>
        <w:t>Quality</w:t>
      </w:r>
      <w:proofErr w:type="spellEnd"/>
      <w:r w:rsidRPr="00CF7841">
        <w:rPr>
          <w:rFonts w:cstheme="minorHAnsi"/>
          <w:i/>
          <w:sz w:val="24"/>
          <w:szCs w:val="24"/>
        </w:rPr>
        <w:t xml:space="preserve"> of </w:t>
      </w:r>
      <w:proofErr w:type="spellStart"/>
      <w:r w:rsidRPr="00CF7841">
        <w:rPr>
          <w:rFonts w:cstheme="minorHAnsi"/>
          <w:i/>
          <w:sz w:val="24"/>
          <w:szCs w:val="24"/>
        </w:rPr>
        <w:t>Medic</w:t>
      </w:r>
      <w:r w:rsidR="00747E46" w:rsidRPr="00CF7841">
        <w:rPr>
          <w:rFonts w:cstheme="minorHAnsi"/>
          <w:i/>
          <w:sz w:val="24"/>
          <w:szCs w:val="24"/>
        </w:rPr>
        <w:t>ines</w:t>
      </w:r>
      <w:proofErr w:type="spellEnd"/>
      <w:r w:rsidRPr="00CF7841">
        <w:rPr>
          <w:rFonts w:cstheme="minorHAnsi"/>
          <w:sz w:val="24"/>
          <w:szCs w:val="24"/>
        </w:rPr>
        <w:t xml:space="preserve"> – EDQM) ha rilasciato al produttore il certificato di conformità alla Farmacopea Europea.</w:t>
      </w:r>
    </w:p>
    <w:p w14:paraId="2FC040E3" w14:textId="4B78389B" w:rsidR="000B7AC8" w:rsidRPr="00CF7841" w:rsidRDefault="000B7AC8" w:rsidP="000B7A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F7841">
        <w:rPr>
          <w:rFonts w:cstheme="minorHAnsi"/>
          <w:sz w:val="24"/>
          <w:szCs w:val="24"/>
        </w:rPr>
        <w:t>Tutti gli aspetti di produzione</w:t>
      </w:r>
      <w:r w:rsidR="00F44B8C" w:rsidRPr="00CF7841">
        <w:rPr>
          <w:rFonts w:cstheme="minorHAnsi"/>
          <w:sz w:val="24"/>
          <w:szCs w:val="24"/>
        </w:rPr>
        <w:t>,</w:t>
      </w:r>
      <w:r w:rsidRPr="00CF7841">
        <w:rPr>
          <w:rFonts w:cstheme="minorHAnsi"/>
          <w:sz w:val="24"/>
          <w:szCs w:val="24"/>
        </w:rPr>
        <w:t xml:space="preserve"> controllo </w:t>
      </w:r>
      <w:r w:rsidR="00F44B8C" w:rsidRPr="00CF7841">
        <w:rPr>
          <w:rFonts w:cstheme="minorHAnsi"/>
          <w:sz w:val="24"/>
          <w:szCs w:val="24"/>
        </w:rPr>
        <w:t xml:space="preserve">e stabilità </w:t>
      </w:r>
      <w:r w:rsidRPr="00CF7841">
        <w:rPr>
          <w:rFonts w:cstheme="minorHAnsi"/>
          <w:sz w:val="24"/>
          <w:szCs w:val="24"/>
        </w:rPr>
        <w:t xml:space="preserve">sono coperti dal certificato di conformità alla Farmacopea Europea. </w:t>
      </w:r>
    </w:p>
    <w:p w14:paraId="271BAA5F" w14:textId="77777777" w:rsidR="000B7AC8" w:rsidRPr="00CF7841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63BE20" w14:textId="77777777" w:rsidR="004E5A39" w:rsidRPr="00CF784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F7841">
        <w:rPr>
          <w:rFonts w:cstheme="minorHAnsi"/>
          <w:b/>
          <w:sz w:val="24"/>
          <w:szCs w:val="24"/>
        </w:rPr>
        <w:t>II.2 PRODOTTO FINITO</w:t>
      </w:r>
    </w:p>
    <w:p w14:paraId="6C81B3A1" w14:textId="77777777" w:rsidR="004E5A39" w:rsidRPr="002F4C55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F7841">
        <w:rPr>
          <w:rFonts w:cstheme="minorHAnsi"/>
          <w:b/>
          <w:sz w:val="24"/>
          <w:szCs w:val="24"/>
        </w:rPr>
        <w:t>Descrizione e composizione</w:t>
      </w:r>
    </w:p>
    <w:p w14:paraId="46D517CE" w14:textId="25F4F35B" w:rsidR="004E5A39" w:rsidRPr="002F4C55" w:rsidRDefault="00E022BA" w:rsidP="00EF6711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2F4C55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2F4C55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2F4C55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0B7AC8" w:rsidRPr="002F4C55">
        <w:rPr>
          <w:rFonts w:eastAsia="Calibri" w:cstheme="minorHAnsi"/>
          <w:sz w:val="24"/>
          <w:szCs w:val="24"/>
          <w:lang w:eastAsia="it-IT"/>
        </w:rPr>
        <w:t xml:space="preserve"> è disponibile in </w:t>
      </w:r>
      <w:r w:rsidR="00CF7841" w:rsidRPr="002F4C55">
        <w:rPr>
          <w:rFonts w:eastAsia="Calibri" w:cstheme="minorHAnsi"/>
          <w:sz w:val="24"/>
          <w:szCs w:val="24"/>
          <w:lang w:eastAsia="it-IT"/>
        </w:rPr>
        <w:t>compresse rivestite con film contenenti 3,75 mg e 7,5 mg di principio attivo.</w:t>
      </w:r>
    </w:p>
    <w:p w14:paraId="77FF1E76" w14:textId="46F4502C" w:rsidR="00B30431" w:rsidRPr="002F4C55" w:rsidRDefault="004E5A39" w:rsidP="00CF7841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2F4C55">
        <w:rPr>
          <w:rFonts w:cstheme="minorHAnsi"/>
          <w:sz w:val="24"/>
          <w:szCs w:val="24"/>
        </w:rPr>
        <w:t>Gli eccipienti sono</w:t>
      </w:r>
      <w:r w:rsidR="00CF7841" w:rsidRPr="002F4C55">
        <w:rPr>
          <w:rFonts w:cstheme="minorHAnsi"/>
          <w:sz w:val="24"/>
          <w:szCs w:val="24"/>
        </w:rPr>
        <w:t xml:space="preserve"> calcio idrogeno fosfato diidrato, lattosio monoidrato, sodio amido glicolato, amido di mais, magnesio stearato, </w:t>
      </w:r>
      <w:r w:rsidR="002F4C55" w:rsidRPr="002F4C55">
        <w:rPr>
          <w:rFonts w:cstheme="minorHAnsi"/>
          <w:sz w:val="24"/>
          <w:szCs w:val="24"/>
        </w:rPr>
        <w:t xml:space="preserve">colorante blu </w:t>
      </w:r>
      <w:proofErr w:type="spellStart"/>
      <w:r w:rsidR="002F4C55" w:rsidRPr="002F4C55">
        <w:rPr>
          <w:rFonts w:cstheme="minorHAnsi"/>
          <w:sz w:val="24"/>
          <w:szCs w:val="24"/>
        </w:rPr>
        <w:t>Opadry</w:t>
      </w:r>
      <w:proofErr w:type="spellEnd"/>
      <w:r w:rsidR="002F4C55" w:rsidRPr="002F4C55">
        <w:rPr>
          <w:rFonts w:cstheme="minorHAnsi"/>
          <w:sz w:val="24"/>
          <w:szCs w:val="24"/>
        </w:rPr>
        <w:t xml:space="preserve">, </w:t>
      </w:r>
      <w:proofErr w:type="spellStart"/>
      <w:r w:rsidR="002F4C55" w:rsidRPr="002F4C55">
        <w:rPr>
          <w:rFonts w:cstheme="minorHAnsi"/>
          <w:sz w:val="24"/>
          <w:szCs w:val="24"/>
        </w:rPr>
        <w:t>i</w:t>
      </w:r>
      <w:r w:rsidR="00CF7841" w:rsidRPr="002F4C55">
        <w:rPr>
          <w:rFonts w:cstheme="minorHAnsi"/>
          <w:sz w:val="24"/>
          <w:szCs w:val="24"/>
        </w:rPr>
        <w:t>promellosa</w:t>
      </w:r>
      <w:proofErr w:type="spellEnd"/>
      <w:r w:rsidR="00CF7841" w:rsidRPr="002F4C55">
        <w:rPr>
          <w:rFonts w:cstheme="minorHAnsi"/>
          <w:sz w:val="24"/>
          <w:szCs w:val="24"/>
        </w:rPr>
        <w:t xml:space="preserve"> (E464)</w:t>
      </w:r>
      <w:r w:rsidR="002F4C55" w:rsidRPr="002F4C55">
        <w:rPr>
          <w:rFonts w:cstheme="minorHAnsi"/>
          <w:sz w:val="24"/>
          <w:szCs w:val="24"/>
        </w:rPr>
        <w:t>, t</w:t>
      </w:r>
      <w:r w:rsidR="00CF7841" w:rsidRPr="002F4C55">
        <w:rPr>
          <w:rFonts w:cstheme="minorHAnsi"/>
          <w:sz w:val="24"/>
          <w:szCs w:val="24"/>
        </w:rPr>
        <w:t>alco (E553b)</w:t>
      </w:r>
      <w:r w:rsidR="002F4C55" w:rsidRPr="002F4C55">
        <w:rPr>
          <w:rFonts w:cstheme="minorHAnsi"/>
          <w:sz w:val="24"/>
          <w:szCs w:val="24"/>
        </w:rPr>
        <w:t>, b</w:t>
      </w:r>
      <w:r w:rsidR="00CF7841" w:rsidRPr="002F4C55">
        <w:rPr>
          <w:rFonts w:cstheme="minorHAnsi"/>
          <w:sz w:val="24"/>
          <w:szCs w:val="24"/>
        </w:rPr>
        <w:t>iossido di titanio (E171)</w:t>
      </w:r>
      <w:r w:rsidR="002F4C55" w:rsidRPr="002F4C55">
        <w:rPr>
          <w:rFonts w:cstheme="minorHAnsi"/>
          <w:sz w:val="24"/>
          <w:szCs w:val="24"/>
        </w:rPr>
        <w:t>, g</w:t>
      </w:r>
      <w:r w:rsidR="00CF7841" w:rsidRPr="002F4C55">
        <w:rPr>
          <w:rFonts w:cstheme="minorHAnsi"/>
          <w:sz w:val="24"/>
          <w:szCs w:val="24"/>
        </w:rPr>
        <w:t>licole propilenico (E1520)</w:t>
      </w:r>
      <w:r w:rsidR="002F4C55" w:rsidRPr="002F4C55">
        <w:rPr>
          <w:rFonts w:cstheme="minorHAnsi"/>
          <w:sz w:val="24"/>
          <w:szCs w:val="24"/>
        </w:rPr>
        <w:t>, p</w:t>
      </w:r>
      <w:r w:rsidR="00CF7841" w:rsidRPr="002F4C55">
        <w:rPr>
          <w:rFonts w:cstheme="minorHAnsi"/>
          <w:sz w:val="24"/>
          <w:szCs w:val="24"/>
        </w:rPr>
        <w:t>igmento di alluminio blu brillante FCF (E133)</w:t>
      </w:r>
      <w:r w:rsidR="002F4C55" w:rsidRPr="002F4C55">
        <w:rPr>
          <w:rFonts w:cstheme="minorHAnsi"/>
          <w:sz w:val="24"/>
          <w:szCs w:val="24"/>
        </w:rPr>
        <w:t>.</w:t>
      </w:r>
    </w:p>
    <w:p w14:paraId="1FE18E29" w14:textId="77777777" w:rsidR="004E5A39" w:rsidRPr="002F4C55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178C45" w14:textId="77777777" w:rsidR="004E5A39" w:rsidRPr="002F4C55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F4C55">
        <w:rPr>
          <w:rFonts w:cstheme="minorHAnsi"/>
          <w:b/>
          <w:sz w:val="24"/>
          <w:szCs w:val="24"/>
        </w:rPr>
        <w:t>Sviluppo farmaceutico</w:t>
      </w:r>
    </w:p>
    <w:p w14:paraId="416CF095" w14:textId="77777777" w:rsidR="004E5A39" w:rsidRPr="002F4C55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F4C55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0C1A9C5D" w14:textId="77777777" w:rsidR="004E5A39" w:rsidRPr="002F4C55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ED4F7C" w14:textId="77777777" w:rsidR="004E5A39" w:rsidRPr="002F4C55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F4C55">
        <w:rPr>
          <w:rFonts w:cstheme="minorHAnsi"/>
          <w:b/>
          <w:sz w:val="24"/>
          <w:szCs w:val="24"/>
        </w:rPr>
        <w:t xml:space="preserve">Produzione </w:t>
      </w:r>
    </w:p>
    <w:p w14:paraId="720F2E9F" w14:textId="77777777" w:rsidR="004E5A39" w:rsidRPr="002F4C55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F4C55">
        <w:rPr>
          <w:rFonts w:cstheme="minorHAnsi"/>
          <w:sz w:val="24"/>
          <w:szCs w:val="24"/>
        </w:rPr>
        <w:t xml:space="preserve">Sono stati forniti una descrizione del metodo di produzione e la relativa </w:t>
      </w:r>
      <w:r w:rsidRPr="002F4C55">
        <w:rPr>
          <w:rFonts w:cstheme="minorHAnsi"/>
          <w:i/>
          <w:sz w:val="24"/>
          <w:szCs w:val="24"/>
        </w:rPr>
        <w:t>flow-chart</w:t>
      </w:r>
      <w:r w:rsidRPr="002F4C55">
        <w:rPr>
          <w:rFonts w:cstheme="minorHAnsi"/>
          <w:sz w:val="24"/>
          <w:szCs w:val="24"/>
        </w:rPr>
        <w:t>.</w:t>
      </w:r>
    </w:p>
    <w:p w14:paraId="4B7C7D3A" w14:textId="77777777" w:rsidR="004E5A39" w:rsidRPr="002F4C55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F4C55"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1DCF077" w14:textId="77777777" w:rsidR="004E5A39" w:rsidRPr="00C64A75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01C945" w14:textId="77777777" w:rsidR="004E5A39" w:rsidRPr="00C64A75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64A75">
        <w:rPr>
          <w:rFonts w:cstheme="minorHAnsi"/>
          <w:b/>
          <w:sz w:val="24"/>
          <w:szCs w:val="24"/>
        </w:rPr>
        <w:t>Specifiche del prodotto finito</w:t>
      </w:r>
    </w:p>
    <w:p w14:paraId="23930CD9" w14:textId="63E15FED" w:rsidR="004E5A39" w:rsidRPr="00C64A75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64A75">
        <w:rPr>
          <w:rFonts w:cstheme="minorHAns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0808A3" w:rsidRPr="00C64A75">
        <w:rPr>
          <w:rFonts w:cstheme="minorHAnsi"/>
          <w:sz w:val="24"/>
          <w:szCs w:val="24"/>
        </w:rPr>
        <w:t>i diversi dosaggi del prodott</w:t>
      </w:r>
      <w:r w:rsidR="008767B9" w:rsidRPr="00C64A75">
        <w:rPr>
          <w:rFonts w:cstheme="minorHAnsi"/>
          <w:sz w:val="24"/>
          <w:szCs w:val="24"/>
        </w:rPr>
        <w:t>o</w:t>
      </w:r>
      <w:r w:rsidR="000808A3" w:rsidRPr="00C64A75">
        <w:rPr>
          <w:rFonts w:cstheme="minorHAnsi"/>
          <w:sz w:val="24"/>
          <w:szCs w:val="24"/>
        </w:rPr>
        <w:t xml:space="preserve"> finito</w:t>
      </w:r>
      <w:r w:rsidRPr="00C64A75">
        <w:rPr>
          <w:rFonts w:cstheme="minorHAnsi"/>
          <w:sz w:val="24"/>
          <w:szCs w:val="24"/>
        </w:rPr>
        <w:t xml:space="preserve">: questi dati dimostrano che i lotti prodotti sono in accordo alle specifiche proposte. Sono stati forniti, infine, </w:t>
      </w:r>
      <w:r w:rsidR="00F44B8C" w:rsidRPr="00C64A75">
        <w:rPr>
          <w:rFonts w:cstheme="minorHAnsi"/>
          <w:sz w:val="24"/>
          <w:szCs w:val="24"/>
        </w:rPr>
        <w:t>dati adeguati</w:t>
      </w:r>
      <w:r w:rsidRPr="00C64A75">
        <w:rPr>
          <w:rFonts w:cstheme="minorHAnsi"/>
          <w:sz w:val="24"/>
          <w:szCs w:val="24"/>
        </w:rPr>
        <w:t xml:space="preserve"> per </w:t>
      </w:r>
      <w:r w:rsidR="00F44B8C" w:rsidRPr="00C64A75">
        <w:rPr>
          <w:rFonts w:cstheme="minorHAnsi"/>
          <w:sz w:val="24"/>
          <w:szCs w:val="24"/>
        </w:rPr>
        <w:t>la qualità de</w:t>
      </w:r>
      <w:r w:rsidRPr="00C64A75">
        <w:rPr>
          <w:rFonts w:cstheme="minorHAnsi"/>
          <w:sz w:val="24"/>
          <w:szCs w:val="24"/>
        </w:rPr>
        <w:t>gli standard di riferimento utilizzati.</w:t>
      </w:r>
    </w:p>
    <w:p w14:paraId="5B60B4D3" w14:textId="77777777" w:rsidR="004E5A39" w:rsidRPr="00C64A75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805F43F" w14:textId="77777777" w:rsidR="004E5A39" w:rsidRPr="00C64A75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64A75">
        <w:rPr>
          <w:rFonts w:cstheme="minorHAnsi"/>
          <w:b/>
          <w:sz w:val="24"/>
          <w:szCs w:val="24"/>
        </w:rPr>
        <w:t>Contenitore</w:t>
      </w:r>
    </w:p>
    <w:p w14:paraId="0777D674" w14:textId="51D8ED06" w:rsidR="00BA0ACD" w:rsidRPr="00C64A75" w:rsidRDefault="00E022BA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C64A75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C64A75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C64A75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0808A3" w:rsidRPr="00C64A75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C64A75">
        <w:rPr>
          <w:rFonts w:cstheme="minorHAnsi"/>
          <w:sz w:val="24"/>
          <w:szCs w:val="24"/>
        </w:rPr>
        <w:t xml:space="preserve">è confezionato in </w:t>
      </w:r>
      <w:r w:rsidR="000808A3" w:rsidRPr="00C64A75">
        <w:rPr>
          <w:rFonts w:cstheme="minorHAnsi"/>
          <w:sz w:val="24"/>
          <w:szCs w:val="24"/>
        </w:rPr>
        <w:t xml:space="preserve">blister di </w:t>
      </w:r>
      <w:r w:rsidR="00C64A75" w:rsidRPr="00C64A75">
        <w:rPr>
          <w:rFonts w:cstheme="minorHAnsi"/>
          <w:sz w:val="24"/>
          <w:szCs w:val="24"/>
        </w:rPr>
        <w:t xml:space="preserve">Al-PVC/PVDC </w:t>
      </w:r>
      <w:r w:rsidR="00F44B8C" w:rsidRPr="00C64A75">
        <w:rPr>
          <w:rFonts w:cstheme="minorHAnsi"/>
          <w:sz w:val="24"/>
          <w:szCs w:val="24"/>
        </w:rPr>
        <w:t xml:space="preserve">all’interno di </w:t>
      </w:r>
      <w:r w:rsidR="00C64A75" w:rsidRPr="00C64A75">
        <w:rPr>
          <w:rFonts w:cstheme="minorHAnsi"/>
          <w:sz w:val="24"/>
          <w:szCs w:val="24"/>
        </w:rPr>
        <w:t>una scatola di cartone.</w:t>
      </w:r>
    </w:p>
    <w:p w14:paraId="1B6AD125" w14:textId="54EECF10" w:rsidR="004E5A39" w:rsidRPr="00C64A75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64A75">
        <w:rPr>
          <w:rFonts w:cstheme="minorHAnsi"/>
          <w:sz w:val="24"/>
          <w:szCs w:val="24"/>
        </w:rPr>
        <w:t xml:space="preserve">Sono state fornite </w:t>
      </w:r>
      <w:r w:rsidR="00F44B8C" w:rsidRPr="00C64A75">
        <w:rPr>
          <w:rFonts w:cstheme="minorHAnsi"/>
          <w:sz w:val="24"/>
          <w:szCs w:val="24"/>
        </w:rPr>
        <w:t xml:space="preserve">adeguate informazioni relative al </w:t>
      </w:r>
      <w:r w:rsidRPr="00C64A75">
        <w:rPr>
          <w:rFonts w:cstheme="minorHAnsi"/>
          <w:sz w:val="24"/>
          <w:szCs w:val="24"/>
        </w:rPr>
        <w:t>confezionamento primario.</w:t>
      </w:r>
    </w:p>
    <w:p w14:paraId="6BE64A56" w14:textId="77777777" w:rsidR="00BA0ACD" w:rsidRPr="00800EA4" w:rsidRDefault="00BA0AC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BEB389" w14:textId="77777777" w:rsidR="004E5A39" w:rsidRPr="00800EA4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00EA4">
        <w:rPr>
          <w:rFonts w:cstheme="minorHAnsi"/>
          <w:b/>
          <w:sz w:val="24"/>
          <w:szCs w:val="24"/>
        </w:rPr>
        <w:t>Stabilità</w:t>
      </w:r>
    </w:p>
    <w:p w14:paraId="3AFA76FF" w14:textId="626D3780" w:rsidR="004E5A39" w:rsidRPr="00800EA4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00EA4">
        <w:rPr>
          <w:rFonts w:cstheme="minorHAns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800EA4" w:rsidRPr="00800EA4">
        <w:rPr>
          <w:rFonts w:cstheme="minorHAnsi"/>
          <w:sz w:val="24"/>
          <w:szCs w:val="24"/>
        </w:rPr>
        <w:t>3</w:t>
      </w:r>
      <w:r w:rsidR="00265B61" w:rsidRPr="00800EA4">
        <w:rPr>
          <w:rFonts w:cstheme="minorHAnsi"/>
          <w:sz w:val="24"/>
          <w:szCs w:val="24"/>
        </w:rPr>
        <w:t xml:space="preserve"> anni</w:t>
      </w:r>
      <w:r w:rsidRPr="00800EA4">
        <w:rPr>
          <w:rFonts w:cstheme="minorHAnsi"/>
          <w:sz w:val="24"/>
          <w:szCs w:val="24"/>
        </w:rPr>
        <w:t xml:space="preserve"> senza nessuna condizione particolare di conservazione</w:t>
      </w:r>
      <w:r w:rsidR="00800EA4" w:rsidRPr="00800EA4">
        <w:rPr>
          <w:rFonts w:cstheme="minorHAnsi"/>
          <w:sz w:val="24"/>
          <w:szCs w:val="24"/>
        </w:rPr>
        <w:t>.</w:t>
      </w:r>
    </w:p>
    <w:p w14:paraId="35B3E197" w14:textId="77777777" w:rsidR="004E5A39" w:rsidRPr="00800EA4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800EA4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00EA4">
        <w:rPr>
          <w:rFonts w:cstheme="minorHAnsi"/>
          <w:b/>
          <w:sz w:val="24"/>
          <w:szCs w:val="24"/>
        </w:rPr>
        <w:t>II.3</w:t>
      </w:r>
      <w:r w:rsidR="00AC3E39" w:rsidRPr="00800EA4">
        <w:rPr>
          <w:rFonts w:cstheme="minorHAnsi"/>
          <w:b/>
          <w:sz w:val="24"/>
          <w:szCs w:val="24"/>
        </w:rPr>
        <w:t xml:space="preserve"> </w:t>
      </w:r>
      <w:r w:rsidRPr="00800EA4">
        <w:rPr>
          <w:rFonts w:cstheme="minorHAnsi"/>
          <w:b/>
          <w:sz w:val="24"/>
          <w:szCs w:val="24"/>
        </w:rPr>
        <w:t>Discussione sugli aspetti di qualità</w:t>
      </w:r>
    </w:p>
    <w:p w14:paraId="0EE1B779" w14:textId="555FA991" w:rsidR="004E5A39" w:rsidRPr="00800EA4" w:rsidRDefault="00F44B8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00EA4">
        <w:rPr>
          <w:rFonts w:cstheme="minorHAnsi"/>
          <w:sz w:val="24"/>
          <w:szCs w:val="24"/>
        </w:rPr>
        <w:t>L</w:t>
      </w:r>
      <w:r w:rsidR="004E5A39" w:rsidRPr="00800EA4">
        <w:rPr>
          <w:rFonts w:cstheme="minorHAnsi"/>
          <w:sz w:val="24"/>
          <w:szCs w:val="24"/>
        </w:rPr>
        <w:t xml:space="preserve">a qualità di </w:t>
      </w:r>
      <w:proofErr w:type="spellStart"/>
      <w:r w:rsidR="00E022BA" w:rsidRPr="00800EA4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800EA4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800EA4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0808A3" w:rsidRPr="00800EA4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800EA4">
        <w:rPr>
          <w:rFonts w:cstheme="minorHAnsi"/>
          <w:sz w:val="24"/>
          <w:szCs w:val="24"/>
        </w:rPr>
        <w:t xml:space="preserve">è considerata adeguata. </w:t>
      </w:r>
      <w:r w:rsidR="00E42578" w:rsidRPr="00800EA4">
        <w:rPr>
          <w:rFonts w:cstheme="minorHAnsi"/>
          <w:sz w:val="24"/>
          <w:szCs w:val="24"/>
        </w:rPr>
        <w:t>Pertanto</w:t>
      </w:r>
      <w:r w:rsidR="009F395B" w:rsidRPr="00800EA4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800EA4">
        <w:rPr>
          <w:rFonts w:cstheme="minorHAnsi"/>
          <w:sz w:val="24"/>
          <w:szCs w:val="24"/>
        </w:rPr>
        <w:t>dal punto di vista chimico-farmaceutico</w:t>
      </w:r>
      <w:r w:rsidR="00610BAB" w:rsidRPr="00800EA4">
        <w:rPr>
          <w:rFonts w:cstheme="minorHAnsi"/>
          <w:sz w:val="24"/>
          <w:szCs w:val="24"/>
        </w:rPr>
        <w:t xml:space="preserve"> </w:t>
      </w:r>
      <w:proofErr w:type="spellStart"/>
      <w:r w:rsidR="00E022BA" w:rsidRPr="00800EA4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800EA4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800EA4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323648" w:rsidRPr="00800EA4">
        <w:rPr>
          <w:rFonts w:eastAsia="Calibri" w:cstheme="minorHAnsi"/>
          <w:sz w:val="24"/>
          <w:szCs w:val="24"/>
          <w:lang w:eastAsia="it-IT"/>
        </w:rPr>
        <w:t xml:space="preserve"> </w:t>
      </w:r>
      <w:r w:rsidR="00610BAB" w:rsidRPr="00800EA4">
        <w:rPr>
          <w:rFonts w:cstheme="minorHAnsi"/>
          <w:sz w:val="24"/>
          <w:szCs w:val="24"/>
        </w:rPr>
        <w:t>è stato considerato accettabile per l’autorizzazione all’immissione in commercio</w:t>
      </w:r>
      <w:r w:rsidR="004E5A39" w:rsidRPr="00800EA4">
        <w:rPr>
          <w:rFonts w:cstheme="minorHAnsi"/>
          <w:sz w:val="24"/>
          <w:szCs w:val="24"/>
        </w:rPr>
        <w:t>.</w:t>
      </w:r>
      <w:r w:rsidR="00323648" w:rsidRPr="00800EA4">
        <w:rPr>
          <w:rFonts w:cstheme="minorHAnsi"/>
          <w:sz w:val="24"/>
          <w:szCs w:val="24"/>
        </w:rPr>
        <w:t xml:space="preserve"> </w:t>
      </w:r>
    </w:p>
    <w:p w14:paraId="0448511C" w14:textId="77777777" w:rsidR="004E5A39" w:rsidRPr="00800EA4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5C62D5" w14:textId="77777777" w:rsidR="004E5A39" w:rsidRPr="00800EA4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800EA4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00EA4">
        <w:rPr>
          <w:rFonts w:cstheme="minorHAnsi"/>
          <w:b/>
          <w:sz w:val="24"/>
          <w:szCs w:val="24"/>
        </w:rPr>
        <w:t>ASPETTI NON CLINICI</w:t>
      </w:r>
    </w:p>
    <w:p w14:paraId="69A2D479" w14:textId="63D05495" w:rsidR="00F27C7F" w:rsidRPr="00800EA4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00EA4">
        <w:rPr>
          <w:rFonts w:cstheme="minorHAnsi"/>
          <w:sz w:val="24"/>
          <w:szCs w:val="24"/>
        </w:rPr>
        <w:t xml:space="preserve">Non sono stati </w:t>
      </w:r>
      <w:r w:rsidR="00F27C7F" w:rsidRPr="00800EA4">
        <w:rPr>
          <w:rFonts w:cstheme="minorHAnsi"/>
          <w:sz w:val="24"/>
          <w:szCs w:val="24"/>
        </w:rPr>
        <w:t>presentati nuovi</w:t>
      </w:r>
      <w:r w:rsidRPr="00800EA4">
        <w:rPr>
          <w:rFonts w:cstheme="minorHAnsi"/>
          <w:sz w:val="24"/>
          <w:szCs w:val="24"/>
        </w:rPr>
        <w:t xml:space="preserve"> studi non clinici, in quanto </w:t>
      </w:r>
      <w:proofErr w:type="spellStart"/>
      <w:r w:rsidR="00E022BA" w:rsidRPr="00800EA4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800EA4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800EA4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9F395B" w:rsidRPr="00800EA4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800EA4">
        <w:rPr>
          <w:rFonts w:cstheme="minorHAnsi"/>
          <w:sz w:val="24"/>
          <w:szCs w:val="24"/>
        </w:rPr>
        <w:t>contiene principi attiv</w:t>
      </w:r>
      <w:r w:rsidR="00853EC6" w:rsidRPr="00800EA4">
        <w:rPr>
          <w:rFonts w:cstheme="minorHAnsi"/>
          <w:sz w:val="24"/>
          <w:szCs w:val="24"/>
        </w:rPr>
        <w:t>i</w:t>
      </w:r>
      <w:r w:rsidRPr="00800EA4">
        <w:rPr>
          <w:rFonts w:cstheme="minorHAnsi"/>
          <w:sz w:val="24"/>
          <w:szCs w:val="24"/>
        </w:rPr>
        <w:t xml:space="preserve"> not</w:t>
      </w:r>
      <w:r w:rsidR="00853EC6" w:rsidRPr="00800EA4">
        <w:rPr>
          <w:rFonts w:cstheme="minorHAnsi"/>
          <w:sz w:val="24"/>
          <w:szCs w:val="24"/>
        </w:rPr>
        <w:t>i</w:t>
      </w:r>
      <w:r w:rsidR="00F44B8C" w:rsidRPr="00800EA4">
        <w:rPr>
          <w:rFonts w:cstheme="minorHAnsi"/>
          <w:sz w:val="24"/>
          <w:szCs w:val="24"/>
        </w:rPr>
        <w:t xml:space="preserve"> presenti </w:t>
      </w:r>
      <w:r w:rsidR="00BA0ACD" w:rsidRPr="00800EA4">
        <w:rPr>
          <w:rFonts w:cstheme="minorHAnsi"/>
          <w:sz w:val="24"/>
          <w:szCs w:val="24"/>
        </w:rPr>
        <w:t>nel medicinale di riferimento</w:t>
      </w:r>
      <w:r w:rsidRPr="00800EA4">
        <w:rPr>
          <w:rFonts w:cstheme="minorHAnsi"/>
          <w:sz w:val="24"/>
          <w:szCs w:val="24"/>
        </w:rPr>
        <w:t xml:space="preserve">: questo approccio è accettabile poiché il medicinale di riferimento </w:t>
      </w:r>
      <w:proofErr w:type="spellStart"/>
      <w:r w:rsidR="00800EA4" w:rsidRPr="00800EA4">
        <w:rPr>
          <w:rFonts w:cstheme="minorHAnsi"/>
          <w:sz w:val="24"/>
          <w:szCs w:val="24"/>
        </w:rPr>
        <w:t>Imovane</w:t>
      </w:r>
      <w:proofErr w:type="spellEnd"/>
      <w:r w:rsidR="00800EA4" w:rsidRPr="00800EA4">
        <w:rPr>
          <w:rFonts w:cstheme="minorHAnsi"/>
          <w:sz w:val="24"/>
          <w:szCs w:val="24"/>
        </w:rPr>
        <w:t xml:space="preserve"> </w:t>
      </w:r>
      <w:r w:rsidRPr="00800EA4">
        <w:rPr>
          <w:rFonts w:cstheme="minorHAnsi"/>
          <w:sz w:val="24"/>
          <w:szCs w:val="24"/>
        </w:rPr>
        <w:t xml:space="preserve">è autorizzato in Italia </w:t>
      </w:r>
      <w:r w:rsidR="00800EA4" w:rsidRPr="00800EA4">
        <w:rPr>
          <w:rFonts w:cstheme="minorHAnsi"/>
          <w:sz w:val="24"/>
          <w:szCs w:val="24"/>
        </w:rPr>
        <w:t xml:space="preserve">e in Europa </w:t>
      </w:r>
      <w:r w:rsidRPr="00800EA4">
        <w:rPr>
          <w:rFonts w:cstheme="minorHAnsi"/>
          <w:sz w:val="24"/>
          <w:szCs w:val="24"/>
        </w:rPr>
        <w:t>da oltre 10 anni</w:t>
      </w:r>
      <w:r w:rsidR="000808A3" w:rsidRPr="00800EA4">
        <w:rPr>
          <w:rFonts w:cstheme="minorHAnsi"/>
          <w:sz w:val="24"/>
          <w:szCs w:val="24"/>
        </w:rPr>
        <w:t>.</w:t>
      </w:r>
    </w:p>
    <w:p w14:paraId="26BE1BD2" w14:textId="77777777" w:rsidR="00CF08A6" w:rsidRPr="00800EA4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6E0403B" w14:textId="77777777" w:rsidR="004E5A39" w:rsidRPr="00800EA4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36D74" w14:textId="77777777" w:rsidR="004E5A39" w:rsidRPr="00800EA4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00EA4">
        <w:rPr>
          <w:rFonts w:cstheme="minorHAnsi"/>
          <w:b/>
          <w:sz w:val="24"/>
          <w:szCs w:val="24"/>
        </w:rPr>
        <w:t>ASPETTI CLINICI</w:t>
      </w:r>
    </w:p>
    <w:p w14:paraId="09DEB0EF" w14:textId="77777777" w:rsidR="00800EA4" w:rsidRPr="00800EA4" w:rsidRDefault="00E022BA" w:rsidP="00800EA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proofErr w:type="spellStart"/>
      <w:r w:rsidRPr="00800EA4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800EA4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800EA4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9F395B" w:rsidRPr="00800EA4">
        <w:rPr>
          <w:rFonts w:eastAsia="Calibri" w:cstheme="minorHAnsi"/>
          <w:sz w:val="24"/>
          <w:szCs w:val="24"/>
          <w:lang w:eastAsia="it-IT"/>
        </w:rPr>
        <w:t xml:space="preserve"> </w:t>
      </w:r>
      <w:r w:rsidR="00265B61" w:rsidRPr="00800EA4">
        <w:rPr>
          <w:rFonts w:cstheme="minorHAnsi"/>
          <w:sz w:val="24"/>
          <w:szCs w:val="24"/>
        </w:rPr>
        <w:t>è utilizzato per</w:t>
      </w:r>
      <w:r w:rsidR="00800EA4" w:rsidRPr="00800EA4">
        <w:rPr>
          <w:rFonts w:cstheme="minorHAnsi"/>
          <w:sz w:val="24"/>
          <w:szCs w:val="24"/>
        </w:rPr>
        <w:t xml:space="preserve"> il trattamento a breve termine dell’insonnia negli adulti.</w:t>
      </w:r>
    </w:p>
    <w:p w14:paraId="674AD919" w14:textId="7CCA9101" w:rsidR="00853EC6" w:rsidRPr="00800EA4" w:rsidRDefault="00800EA4" w:rsidP="00800EA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800EA4">
        <w:rPr>
          <w:rFonts w:cstheme="minorHAnsi"/>
          <w:sz w:val="24"/>
          <w:szCs w:val="24"/>
        </w:rPr>
        <w:t>Le benzodiazepine e le sostanze simil-benzodiazepiniche sono indicate solo se il disturbo è severo, tale da rendere l’individuo inabile o fortemente stressato.</w:t>
      </w:r>
    </w:p>
    <w:p w14:paraId="3D778BBE" w14:textId="77777777" w:rsidR="00265B61" w:rsidRPr="00800EA4" w:rsidRDefault="00265B61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2E38D4F0" w14:textId="77777777" w:rsidR="004E5A39" w:rsidRPr="00800EA4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14:paraId="554DB7A7" w14:textId="77777777" w:rsidR="004E5A39" w:rsidRPr="00800EA4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800EA4">
        <w:rPr>
          <w:rFonts w:cstheme="minorHAnsi"/>
          <w:b/>
          <w:sz w:val="24"/>
          <w:szCs w:val="24"/>
        </w:rPr>
        <w:t>Posologia e modalità di somministrazione</w:t>
      </w:r>
    </w:p>
    <w:p w14:paraId="7D9DD53A" w14:textId="151F282C" w:rsidR="004E5A39" w:rsidRPr="00800EA4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800EA4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</w:t>
      </w:r>
      <w:hyperlink r:id="rId11" w:anchor="/it/" w:history="1">
        <w:r w:rsidR="00165D07" w:rsidRPr="00800EA4">
          <w:rPr>
            <w:rStyle w:val="Collegamentoipertestuale"/>
            <w:rFonts w:eastAsia="Calibri" w:cstheme="minorHAnsi"/>
            <w:color w:val="auto"/>
            <w:sz w:val="24"/>
            <w:szCs w:val="24"/>
            <w:lang w:eastAsia="it-IT"/>
          </w:rPr>
          <w:t>https://medicinali.aifa.gov.it/it/#/it/</w:t>
        </w:r>
      </w:hyperlink>
    </w:p>
    <w:p w14:paraId="6754E9F0" w14:textId="77777777" w:rsidR="00195C98" w:rsidRPr="00601BB8" w:rsidRDefault="00195C98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6E442BDB" w14:textId="77777777" w:rsidR="002E10B7" w:rsidRPr="00945F94" w:rsidRDefault="002E10B7" w:rsidP="002E10B7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945F94">
        <w:rPr>
          <w:rFonts w:eastAsia="Times New Roman" w:cstheme="minorHAnsi"/>
          <w:b/>
          <w:sz w:val="24"/>
          <w:szCs w:val="24"/>
        </w:rPr>
        <w:t>Farmacologia clinica</w:t>
      </w:r>
    </w:p>
    <w:p w14:paraId="48537123" w14:textId="77777777" w:rsidR="002E10B7" w:rsidRPr="00945F94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45F94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proofErr w:type="spellStart"/>
      <w:r w:rsidRPr="00945F94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945F94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945F94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Pr="00945F94">
        <w:rPr>
          <w:rFonts w:eastAsia="Calibri" w:cstheme="minorHAnsi"/>
          <w:sz w:val="24"/>
          <w:szCs w:val="24"/>
          <w:lang w:eastAsia="it-IT"/>
        </w:rPr>
        <w:t xml:space="preserve"> è ben conosciuta.</w:t>
      </w:r>
      <w:r w:rsidRPr="00945F94">
        <w:rPr>
          <w:rFonts w:cstheme="minorHAnsi"/>
          <w:sz w:val="24"/>
          <w:szCs w:val="24"/>
        </w:rPr>
        <w:t xml:space="preserve"> </w:t>
      </w:r>
      <w:proofErr w:type="spellStart"/>
      <w:r w:rsidRPr="00945F94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945F94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945F94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Pr="00945F94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945F94">
        <w:rPr>
          <w:rFonts w:cstheme="minorHAnsi"/>
          <w:sz w:val="24"/>
          <w:szCs w:val="24"/>
        </w:rPr>
        <w:t xml:space="preserve">contiene principi attivi noti e presenti nel medicinale di riferimento </w:t>
      </w:r>
      <w:proofErr w:type="spellStart"/>
      <w:r w:rsidRPr="00945F94">
        <w:rPr>
          <w:rFonts w:cstheme="minorHAnsi"/>
          <w:sz w:val="24"/>
          <w:szCs w:val="24"/>
        </w:rPr>
        <w:t>Imovane</w:t>
      </w:r>
      <w:proofErr w:type="spellEnd"/>
      <w:r w:rsidRPr="00945F94">
        <w:rPr>
          <w:rFonts w:cstheme="minorHAnsi"/>
          <w:sz w:val="24"/>
          <w:szCs w:val="24"/>
        </w:rPr>
        <w:t xml:space="preserve"> autorizzato in Italia e in UE da più di 8 anni. Con l’eccezione dello studio di </w:t>
      </w:r>
      <w:proofErr w:type="spellStart"/>
      <w:r w:rsidRPr="00945F94">
        <w:rPr>
          <w:rFonts w:cstheme="minorHAnsi"/>
          <w:sz w:val="24"/>
          <w:szCs w:val="24"/>
        </w:rPr>
        <w:t>bioequivalenza</w:t>
      </w:r>
      <w:proofErr w:type="spellEnd"/>
      <w:r w:rsidRPr="00945F94">
        <w:rPr>
          <w:rFonts w:cstheme="minorHAnsi"/>
          <w:sz w:val="24"/>
          <w:szCs w:val="24"/>
        </w:rPr>
        <w:t>, non sono stati condotti nuovi studi clinici di farmacodinamica e farmacocinetica.</w:t>
      </w:r>
    </w:p>
    <w:p w14:paraId="442819DD" w14:textId="77777777" w:rsidR="002E10B7" w:rsidRPr="00945F94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1751E6F" w14:textId="77777777" w:rsidR="002E10B7" w:rsidRPr="00945F94" w:rsidRDefault="002E10B7" w:rsidP="002E10B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45F94">
        <w:rPr>
          <w:rFonts w:cstheme="minorHAnsi"/>
          <w:b/>
          <w:sz w:val="24"/>
          <w:szCs w:val="24"/>
        </w:rPr>
        <w:t xml:space="preserve">Studio di </w:t>
      </w:r>
      <w:proofErr w:type="spellStart"/>
      <w:r w:rsidRPr="00945F94">
        <w:rPr>
          <w:rFonts w:cstheme="minorHAnsi"/>
          <w:b/>
          <w:sz w:val="24"/>
          <w:szCs w:val="24"/>
        </w:rPr>
        <w:t>bioequivalenza</w:t>
      </w:r>
      <w:proofErr w:type="spellEnd"/>
    </w:p>
    <w:p w14:paraId="151D586D" w14:textId="77777777" w:rsidR="002E10B7" w:rsidRPr="00945F94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45F94">
        <w:rPr>
          <w:rFonts w:cstheme="minorHAnsi"/>
          <w:sz w:val="24"/>
          <w:szCs w:val="24"/>
        </w:rPr>
        <w:t xml:space="preserve">La richiesta di AIC è supportata da uno studio di </w:t>
      </w:r>
      <w:proofErr w:type="spellStart"/>
      <w:r w:rsidRPr="00945F94">
        <w:rPr>
          <w:rFonts w:cstheme="minorHAnsi"/>
          <w:sz w:val="24"/>
          <w:szCs w:val="24"/>
        </w:rPr>
        <w:t>bioequivalenza</w:t>
      </w:r>
      <w:proofErr w:type="spellEnd"/>
      <w:r w:rsidRPr="00945F94">
        <w:rPr>
          <w:rFonts w:cstheme="minorHAnsi"/>
          <w:sz w:val="24"/>
          <w:szCs w:val="24"/>
        </w:rPr>
        <w:t xml:space="preserve"> che ha confrontato i profili farmacocinetici di </w:t>
      </w:r>
      <w:proofErr w:type="spellStart"/>
      <w:r w:rsidRPr="00945F94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945F94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945F94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Pr="00945F94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945F94">
        <w:rPr>
          <w:rFonts w:cstheme="minorHAnsi"/>
          <w:sz w:val="24"/>
          <w:szCs w:val="24"/>
        </w:rPr>
        <w:t xml:space="preserve">e quelli del medicinale di riferimento </w:t>
      </w:r>
      <w:proofErr w:type="spellStart"/>
      <w:r w:rsidRPr="00945F94">
        <w:rPr>
          <w:rFonts w:cstheme="minorHAnsi"/>
          <w:sz w:val="24"/>
          <w:szCs w:val="24"/>
        </w:rPr>
        <w:t>Imovane</w:t>
      </w:r>
      <w:proofErr w:type="spellEnd"/>
      <w:r w:rsidRPr="00945F94">
        <w:rPr>
          <w:rFonts w:cstheme="minorHAnsi"/>
          <w:sz w:val="24"/>
          <w:szCs w:val="24"/>
        </w:rPr>
        <w:t>.</w:t>
      </w:r>
    </w:p>
    <w:p w14:paraId="21D607BF" w14:textId="77777777" w:rsidR="002E10B7" w:rsidRPr="00945F94" w:rsidRDefault="002E10B7" w:rsidP="002E10B7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945F94">
        <w:rPr>
          <w:rFonts w:cstheme="minorHAnsi"/>
          <w:sz w:val="24"/>
          <w:szCs w:val="24"/>
        </w:rPr>
        <w:t>Lo studio era caratterizzato da un appropriato disegno ed è stato condotto in accordo ai principi GCP.</w:t>
      </w:r>
    </w:p>
    <w:p w14:paraId="2AF3DC11" w14:textId="77777777" w:rsidR="002E10B7" w:rsidRDefault="002E10B7" w:rsidP="002E10B7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945F94">
        <w:rPr>
          <w:rFonts w:cstheme="minorHAnsi"/>
          <w:sz w:val="24"/>
          <w:szCs w:val="24"/>
        </w:rPr>
        <w:t>Sono stati forniti certificati analitici per medicinale test e medicinale di riferimento.</w:t>
      </w:r>
    </w:p>
    <w:p w14:paraId="684E3C0F" w14:textId="77777777" w:rsidR="002E10B7" w:rsidRPr="008C736D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C736D">
        <w:rPr>
          <w:rFonts w:cstheme="minorHAnsi"/>
          <w:sz w:val="24"/>
          <w:szCs w:val="24"/>
        </w:rPr>
        <w:t xml:space="preserve">L’utilizzo del solo dosaggio maggiore </w:t>
      </w:r>
      <w:r>
        <w:rPr>
          <w:rFonts w:cstheme="minorHAnsi"/>
          <w:sz w:val="24"/>
          <w:szCs w:val="24"/>
        </w:rPr>
        <w:t>7,5</w:t>
      </w:r>
      <w:r w:rsidRPr="008C736D">
        <w:rPr>
          <w:rFonts w:cstheme="minorHAnsi"/>
          <w:sz w:val="24"/>
          <w:szCs w:val="24"/>
        </w:rPr>
        <w:t xml:space="preserve"> mg per lo studio di </w:t>
      </w:r>
      <w:proofErr w:type="spellStart"/>
      <w:r w:rsidRPr="008C736D">
        <w:rPr>
          <w:rFonts w:cstheme="minorHAnsi"/>
          <w:sz w:val="24"/>
          <w:szCs w:val="24"/>
        </w:rPr>
        <w:t>bioequivalenza</w:t>
      </w:r>
      <w:proofErr w:type="spellEnd"/>
      <w:r w:rsidRPr="008C736D">
        <w:rPr>
          <w:rFonts w:cstheme="minorHAnsi"/>
          <w:sz w:val="24"/>
          <w:szCs w:val="24"/>
        </w:rPr>
        <w:t xml:space="preserve"> è stato opportunamente giustificato.</w:t>
      </w:r>
    </w:p>
    <w:p w14:paraId="1C62FB05" w14:textId="77777777" w:rsidR="002E10B7" w:rsidRPr="008C736D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C44B40D" w14:textId="77777777" w:rsidR="002E10B7" w:rsidRPr="008C736D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C736D">
        <w:rPr>
          <w:rFonts w:cstheme="minorHAnsi"/>
          <w:sz w:val="24"/>
          <w:szCs w:val="24"/>
        </w:rPr>
        <w:t xml:space="preserve">Lo studio di </w:t>
      </w:r>
      <w:proofErr w:type="spellStart"/>
      <w:r w:rsidRPr="008C736D">
        <w:rPr>
          <w:rFonts w:cstheme="minorHAnsi"/>
          <w:sz w:val="24"/>
          <w:szCs w:val="24"/>
        </w:rPr>
        <w:t>bioequivalenza</w:t>
      </w:r>
      <w:proofErr w:type="spellEnd"/>
      <w:r w:rsidRPr="008C736D">
        <w:rPr>
          <w:rFonts w:cstheme="minorHAnsi"/>
          <w:sz w:val="24"/>
          <w:szCs w:val="24"/>
        </w:rPr>
        <w:t xml:space="preserve"> è uno studio comparativo, randomizzato, a dose singola, 2-periodi, 2 sequenze, 2 trattamenti, crossover, condotto </w:t>
      </w:r>
      <w:r w:rsidRPr="00EB3FC8">
        <w:rPr>
          <w:rFonts w:cstheme="minorHAnsi"/>
          <w:sz w:val="24"/>
          <w:szCs w:val="24"/>
        </w:rPr>
        <w:t>su 46 volontari sani</w:t>
      </w:r>
      <w:r w:rsidRPr="008C736D">
        <w:rPr>
          <w:rFonts w:cstheme="minorHAnsi"/>
          <w:sz w:val="24"/>
          <w:szCs w:val="24"/>
        </w:rPr>
        <w:t xml:space="preserve"> con somministrazione a digiuno. Dopo una notte di digiuno, il medicinale è stato somministrato con acqua. Un soddisfacente periodo di wash-out di </w:t>
      </w:r>
      <w:r>
        <w:rPr>
          <w:rFonts w:cstheme="minorHAnsi"/>
          <w:sz w:val="24"/>
          <w:szCs w:val="24"/>
        </w:rPr>
        <w:t>5</w:t>
      </w:r>
      <w:r w:rsidRPr="008C736D">
        <w:rPr>
          <w:rFonts w:cstheme="minorHAnsi"/>
          <w:sz w:val="24"/>
          <w:szCs w:val="24"/>
        </w:rPr>
        <w:t xml:space="preserve"> giorni è stato previsto tra le somministrazioni in ogni gruppo.</w:t>
      </w:r>
    </w:p>
    <w:p w14:paraId="12BC2A45" w14:textId="77777777" w:rsidR="002E10B7" w:rsidRPr="008C736D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7AE60D9" w14:textId="77777777" w:rsidR="002E10B7" w:rsidRPr="008C736D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C736D">
        <w:rPr>
          <w:rFonts w:cstheme="minorHAnsi"/>
          <w:sz w:val="24"/>
          <w:szCs w:val="24"/>
        </w:rPr>
        <w:t>Campioni di sangue sono stati prelevati al tempo zero (</w:t>
      </w:r>
      <w:proofErr w:type="spellStart"/>
      <w:r w:rsidRPr="008C736D">
        <w:rPr>
          <w:rFonts w:cstheme="minorHAnsi"/>
          <w:sz w:val="24"/>
          <w:szCs w:val="24"/>
        </w:rPr>
        <w:t>pre</w:t>
      </w:r>
      <w:proofErr w:type="spellEnd"/>
      <w:r w:rsidRPr="008C736D">
        <w:rPr>
          <w:rFonts w:cstheme="minorHAnsi"/>
          <w:sz w:val="24"/>
          <w:szCs w:val="24"/>
        </w:rPr>
        <w:t xml:space="preserve">-dose) e a specificati tempi fino a 48 ore </w:t>
      </w:r>
      <w:r w:rsidRPr="00EB3FC8">
        <w:rPr>
          <w:rFonts w:cstheme="minorHAnsi"/>
          <w:sz w:val="24"/>
          <w:szCs w:val="24"/>
        </w:rPr>
        <w:t xml:space="preserve">dopo la somministrazione. I livelli plasmatici di </w:t>
      </w:r>
      <w:proofErr w:type="spellStart"/>
      <w:r w:rsidRPr="00EB3FC8">
        <w:rPr>
          <w:rFonts w:cstheme="minorHAnsi"/>
          <w:sz w:val="24"/>
          <w:szCs w:val="24"/>
        </w:rPr>
        <w:t>zopiclone</w:t>
      </w:r>
      <w:proofErr w:type="spellEnd"/>
      <w:r w:rsidRPr="00EB3FC8">
        <w:rPr>
          <w:rFonts w:cstheme="minorHAnsi"/>
          <w:sz w:val="24"/>
          <w:szCs w:val="24"/>
        </w:rPr>
        <w:t xml:space="preserve"> sono stati determinati mediante un metodo analitico LC-ESI-MS/MS opportunamente</w:t>
      </w:r>
      <w:r w:rsidRPr="008C736D">
        <w:rPr>
          <w:rFonts w:cstheme="minorHAnsi"/>
          <w:sz w:val="24"/>
          <w:szCs w:val="24"/>
        </w:rPr>
        <w:t xml:space="preserve"> convalidato.</w:t>
      </w:r>
    </w:p>
    <w:p w14:paraId="57C63F1F" w14:textId="77777777" w:rsidR="002E10B7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705D61" w14:textId="77777777" w:rsidR="002E10B7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42 soggetti hanno completato lo studio.</w:t>
      </w:r>
    </w:p>
    <w:p w14:paraId="50BB3944" w14:textId="77777777" w:rsidR="002E10B7" w:rsidRPr="008C736D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990B640" w14:textId="77777777" w:rsidR="002E10B7" w:rsidRDefault="002E10B7" w:rsidP="002E10B7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8C736D">
        <w:rPr>
          <w:rFonts w:cstheme="minorHAnsi"/>
          <w:sz w:val="24"/>
          <w:szCs w:val="24"/>
        </w:rPr>
        <w:lastRenderedPageBreak/>
        <w:t>Sono state definite le seguenti variabili farmacocinetiche</w:t>
      </w:r>
      <w:r>
        <w:rPr>
          <w:rFonts w:cstheme="minorHAnsi"/>
          <w:sz w:val="24"/>
          <w:szCs w:val="24"/>
        </w:rPr>
        <w:t>:</w:t>
      </w:r>
    </w:p>
    <w:p w14:paraId="7FAC9933" w14:textId="77777777" w:rsidR="002E10B7" w:rsidRPr="00945F94" w:rsidRDefault="002E10B7" w:rsidP="002E10B7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lang w:val="en-US"/>
        </w:rPr>
        <w:t>C</w:t>
      </w:r>
      <w:r>
        <w:rPr>
          <w:vertAlign w:val="subscript"/>
          <w:lang w:val="en-US"/>
        </w:rPr>
        <w:t>max</w:t>
      </w:r>
      <w:proofErr w:type="spellEnd"/>
      <w:r>
        <w:rPr>
          <w:lang w:val="en-US"/>
        </w:rPr>
        <w:t xml:space="preserve"> e AUC</w:t>
      </w:r>
      <w:r>
        <w:rPr>
          <w:vertAlign w:val="subscript"/>
          <w:lang w:val="en-US"/>
        </w:rPr>
        <w:t>0-t</w:t>
      </w:r>
      <w:r>
        <w:rPr>
          <w:lang w:val="en-US"/>
        </w:rPr>
        <w:t>.</w:t>
      </w:r>
    </w:p>
    <w:p w14:paraId="1B7E4592" w14:textId="77777777" w:rsidR="002E10B7" w:rsidRPr="002E10B7" w:rsidRDefault="002E10B7" w:rsidP="002E10B7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lang w:val="en-GB"/>
        </w:rPr>
      </w:pPr>
      <w:r>
        <w:rPr>
          <w:lang w:val="en-US"/>
        </w:rPr>
        <w:t>AUC</w:t>
      </w:r>
      <w:r>
        <w:rPr>
          <w:vertAlign w:val="subscript"/>
          <w:lang w:val="en-US"/>
        </w:rPr>
        <w:t>0-∞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T</w:t>
      </w:r>
      <w:r>
        <w:rPr>
          <w:vertAlign w:val="subscript"/>
          <w:lang w:val="en-US"/>
        </w:rPr>
        <w:t>max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λ</w:t>
      </w:r>
      <w:r>
        <w:rPr>
          <w:vertAlign w:val="subscript"/>
          <w:lang w:val="en-US"/>
        </w:rPr>
        <w:t>z</w:t>
      </w:r>
      <w:proofErr w:type="spellEnd"/>
      <w:r>
        <w:rPr>
          <w:lang w:val="en-US"/>
        </w:rPr>
        <w:t>, AUC</w:t>
      </w:r>
      <w:r>
        <w:rPr>
          <w:vertAlign w:val="subscript"/>
          <w:lang w:val="en-US"/>
        </w:rPr>
        <w:t>0-t</w:t>
      </w:r>
      <w:r>
        <w:rPr>
          <w:lang w:val="en-US"/>
        </w:rPr>
        <w:t>/AUC</w:t>
      </w:r>
      <w:r>
        <w:rPr>
          <w:vertAlign w:val="subscript"/>
          <w:lang w:val="en-US"/>
        </w:rPr>
        <w:t>0-∞</w:t>
      </w:r>
      <w:r>
        <w:rPr>
          <w:lang w:val="en-US"/>
        </w:rPr>
        <w:t xml:space="preserve">, AUC_% </w:t>
      </w:r>
      <w:proofErr w:type="spellStart"/>
      <w:r>
        <w:rPr>
          <w:vertAlign w:val="subscript"/>
          <w:lang w:val="en-US"/>
        </w:rPr>
        <w:t>Extrap_obs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No_points_λ</w:t>
      </w:r>
      <w:r>
        <w:rPr>
          <w:vertAlign w:val="subscript"/>
          <w:lang w:val="en-US"/>
        </w:rPr>
        <w:t>z</w:t>
      </w:r>
      <w:proofErr w:type="spellEnd"/>
      <w:r>
        <w:rPr>
          <w:lang w:val="en-US"/>
        </w:rPr>
        <w:t xml:space="preserve"> e t</w:t>
      </w:r>
      <w:r>
        <w:rPr>
          <w:vertAlign w:val="subscript"/>
          <w:lang w:val="en-US"/>
        </w:rPr>
        <w:t>1/2</w:t>
      </w:r>
      <w:r w:rsidRPr="002E10B7">
        <w:rPr>
          <w:rFonts w:cstheme="minorHAnsi"/>
          <w:sz w:val="24"/>
          <w:szCs w:val="24"/>
          <w:lang w:val="en-GB"/>
        </w:rPr>
        <w:t>.</w:t>
      </w:r>
    </w:p>
    <w:p w14:paraId="563FB83F" w14:textId="77777777" w:rsidR="002E10B7" w:rsidRPr="002E10B7" w:rsidRDefault="002E10B7" w:rsidP="002E10B7">
      <w:pPr>
        <w:pStyle w:val="Paragrafoelenco"/>
        <w:spacing w:after="0" w:line="240" w:lineRule="auto"/>
        <w:ind w:left="0"/>
        <w:jc w:val="both"/>
        <w:rPr>
          <w:rFonts w:cstheme="minorHAnsi"/>
          <w:b/>
          <w:szCs w:val="24"/>
          <w:highlight w:val="green"/>
          <w:lang w:val="en-GB"/>
        </w:rPr>
      </w:pPr>
      <w:r w:rsidRPr="002E10B7">
        <w:rPr>
          <w:rFonts w:cstheme="minorHAnsi"/>
          <w:szCs w:val="24"/>
          <w:highlight w:val="green"/>
          <w:lang w:val="en-GB"/>
        </w:rPr>
        <w:t xml:space="preserve"> </w:t>
      </w:r>
    </w:p>
    <w:p w14:paraId="658C2A4B" w14:textId="77777777" w:rsidR="002E10B7" w:rsidRPr="00601BB8" w:rsidRDefault="002E10B7" w:rsidP="002E10B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theme="minorHAnsi"/>
          <w:b w:val="0"/>
          <w:szCs w:val="24"/>
          <w:lang w:val="it-IT"/>
        </w:rPr>
      </w:pPr>
      <w:r w:rsidRPr="008263C2">
        <w:rPr>
          <w:rFonts w:asciiTheme="minorHAnsi" w:hAnsiTheme="minorHAnsi" w:cstheme="minorHAnsi"/>
          <w:b w:val="0"/>
          <w:szCs w:val="24"/>
          <w:lang w:val="it-IT"/>
        </w:rPr>
        <w:t xml:space="preserve">La sintesi dei risultati dello studio di </w:t>
      </w:r>
      <w:proofErr w:type="spellStart"/>
      <w:r w:rsidRPr="008263C2">
        <w:rPr>
          <w:rFonts w:asciiTheme="minorHAnsi" w:hAnsiTheme="minorHAnsi" w:cstheme="minorHAnsi"/>
          <w:b w:val="0"/>
          <w:szCs w:val="24"/>
          <w:lang w:val="it-IT"/>
        </w:rPr>
        <w:t>bioequivalenza</w:t>
      </w:r>
      <w:proofErr w:type="spellEnd"/>
      <w:r w:rsidRPr="008263C2">
        <w:rPr>
          <w:rFonts w:asciiTheme="minorHAnsi" w:hAnsiTheme="minorHAnsi" w:cstheme="minorHAnsi"/>
          <w:b w:val="0"/>
          <w:szCs w:val="24"/>
          <w:lang w:val="it-IT"/>
        </w:rPr>
        <w:t xml:space="preserve"> è riportata nella tabella che segue.</w:t>
      </w:r>
    </w:p>
    <w:p w14:paraId="4D3F5E2E" w14:textId="77777777" w:rsidR="002E10B7" w:rsidRPr="002E10B7" w:rsidRDefault="002E10B7" w:rsidP="002E10B7">
      <w:pPr>
        <w:tabs>
          <w:tab w:val="left" w:pos="1985"/>
        </w:tabs>
        <w:ind w:left="1985" w:hanging="1134"/>
        <w:rPr>
          <w:b/>
          <w:bCs/>
        </w:rPr>
      </w:pPr>
      <w:r w:rsidRPr="009C7AC5">
        <w:rPr>
          <w:b/>
        </w:rPr>
        <w:t>Tabella 1.</w:t>
      </w:r>
      <w:r w:rsidRPr="009C7AC5">
        <w:rPr>
          <w:b/>
        </w:rPr>
        <w:tab/>
        <w:t xml:space="preserve">Parametri farmacocinetici (valori non trasformati; media aritmetica ± DS, </w:t>
      </w:r>
      <w:proofErr w:type="spellStart"/>
      <w:r w:rsidRPr="009C7AC5">
        <w:rPr>
          <w:b/>
        </w:rPr>
        <w:t>tmax</w:t>
      </w:r>
      <w:proofErr w:type="spellEnd"/>
      <w:r w:rsidRPr="009C7AC5">
        <w:rPr>
          <w:b/>
        </w:rPr>
        <w:t xml:space="preserve"> mediano, </w:t>
      </w:r>
      <w:proofErr w:type="spellStart"/>
      <w:r w:rsidRPr="009C7AC5">
        <w:rPr>
          <w:b/>
        </w:rPr>
        <w:t>range</w:t>
      </w:r>
      <w:proofErr w:type="spellEnd"/>
      <w:r w:rsidRPr="009C7AC5">
        <w:rPr>
          <w:b/>
        </w:rPr>
        <w:t>)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9"/>
        <w:gridCol w:w="1800"/>
        <w:gridCol w:w="1800"/>
        <w:gridCol w:w="1800"/>
        <w:gridCol w:w="1800"/>
      </w:tblGrid>
      <w:tr w:rsidR="002E10B7" w14:paraId="35E25B47" w14:textId="77777777" w:rsidTr="00D05360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30CE9DF" w14:textId="77777777" w:rsidR="002E10B7" w:rsidRDefault="002E10B7" w:rsidP="00D05360">
            <w:pPr>
              <w:pStyle w:val="Sarkain2"/>
              <w:ind w:left="0"/>
              <w:rPr>
                <w:bCs/>
                <w:lang w:val="de-DE"/>
              </w:rPr>
            </w:pPr>
            <w:proofErr w:type="spellStart"/>
            <w:r>
              <w:rPr>
                <w:bCs/>
                <w:lang w:val="de-DE"/>
              </w:rPr>
              <w:t>Trattamento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74DDB6" w14:textId="77777777" w:rsidR="002E10B7" w:rsidRDefault="002E10B7" w:rsidP="00D05360">
            <w:pPr>
              <w:pStyle w:val="Sarkain2"/>
              <w:ind w:left="0"/>
              <w:jc w:val="center"/>
              <w:rPr>
                <w:bCs/>
                <w:vertAlign w:val="subscript"/>
                <w:lang w:val="de-DE"/>
              </w:rPr>
            </w:pPr>
            <w:r>
              <w:rPr>
                <w:bCs/>
                <w:lang w:val="de-DE"/>
              </w:rPr>
              <w:t>AUC</w:t>
            </w:r>
            <w:r>
              <w:rPr>
                <w:bCs/>
                <w:vertAlign w:val="subscript"/>
                <w:lang w:val="de-DE"/>
              </w:rPr>
              <w:t>0-t</w:t>
            </w:r>
          </w:p>
          <w:p w14:paraId="2B6A76D2" w14:textId="77777777" w:rsidR="002E10B7" w:rsidRDefault="002E10B7" w:rsidP="00D05360">
            <w:pPr>
              <w:pStyle w:val="Sarkain2"/>
              <w:ind w:left="0"/>
              <w:jc w:val="center"/>
              <w:rPr>
                <w:bCs/>
                <w:lang w:val="de-DE"/>
              </w:rPr>
            </w:pPr>
            <w:proofErr w:type="spellStart"/>
            <w:r>
              <w:rPr>
                <w:bCs/>
                <w:vertAlign w:val="subscript"/>
                <w:lang w:val="de-DE"/>
              </w:rPr>
              <w:t>ng</w:t>
            </w:r>
            <w:proofErr w:type="spellEnd"/>
            <w:r>
              <w:rPr>
                <w:bCs/>
                <w:vertAlign w:val="subscript"/>
                <w:lang w:val="de-DE"/>
              </w:rPr>
              <w:t>/ml/h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E5D18C0" w14:textId="77777777" w:rsidR="002E10B7" w:rsidRDefault="002E10B7" w:rsidP="00D05360">
            <w:pPr>
              <w:pStyle w:val="Sarkain2"/>
              <w:ind w:left="0"/>
              <w:jc w:val="center"/>
              <w:rPr>
                <w:bCs/>
                <w:vertAlign w:val="subscript"/>
                <w:lang w:val="de-DE"/>
              </w:rPr>
            </w:pPr>
            <w:r>
              <w:rPr>
                <w:bCs/>
                <w:lang w:val="de-DE"/>
              </w:rPr>
              <w:t>AUC</w:t>
            </w:r>
            <w:r>
              <w:rPr>
                <w:bCs/>
                <w:vertAlign w:val="subscript"/>
                <w:lang w:val="de-DE"/>
              </w:rPr>
              <w:t>0-∞</w:t>
            </w:r>
          </w:p>
          <w:p w14:paraId="448B5C03" w14:textId="77777777" w:rsidR="002E10B7" w:rsidRDefault="002E10B7" w:rsidP="00D05360">
            <w:pPr>
              <w:pStyle w:val="Sarkain2"/>
              <w:ind w:left="0"/>
              <w:jc w:val="center"/>
              <w:rPr>
                <w:bCs/>
                <w:lang w:val="de-DE"/>
              </w:rPr>
            </w:pPr>
            <w:proofErr w:type="spellStart"/>
            <w:r>
              <w:rPr>
                <w:bCs/>
                <w:vertAlign w:val="subscript"/>
                <w:lang w:val="de-DE"/>
              </w:rPr>
              <w:t>ng</w:t>
            </w:r>
            <w:proofErr w:type="spellEnd"/>
            <w:r>
              <w:rPr>
                <w:bCs/>
                <w:vertAlign w:val="subscript"/>
                <w:lang w:val="de-DE"/>
              </w:rPr>
              <w:t>/ml/h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155A5E6" w14:textId="77777777" w:rsidR="002E10B7" w:rsidRDefault="002E10B7" w:rsidP="00D05360">
            <w:pPr>
              <w:pStyle w:val="Sarkain2"/>
              <w:ind w:left="0"/>
              <w:jc w:val="center"/>
              <w:rPr>
                <w:bCs/>
                <w:vertAlign w:val="subscript"/>
                <w:lang w:val="en-GB"/>
              </w:rPr>
            </w:pPr>
            <w:proofErr w:type="spellStart"/>
            <w:r>
              <w:rPr>
                <w:bCs/>
                <w:lang w:val="en-GB"/>
              </w:rPr>
              <w:t>C</w:t>
            </w:r>
            <w:r>
              <w:rPr>
                <w:bCs/>
                <w:vertAlign w:val="subscript"/>
                <w:lang w:val="en-GB"/>
              </w:rPr>
              <w:t>max</w:t>
            </w:r>
            <w:proofErr w:type="spellEnd"/>
          </w:p>
          <w:p w14:paraId="3DCA34FB" w14:textId="77777777" w:rsidR="002E10B7" w:rsidRDefault="002E10B7" w:rsidP="00D05360">
            <w:pPr>
              <w:pStyle w:val="Sarkain2"/>
              <w:ind w:left="0"/>
              <w:jc w:val="center"/>
              <w:rPr>
                <w:bCs/>
                <w:lang w:val="en-GB"/>
              </w:rPr>
            </w:pPr>
            <w:r>
              <w:rPr>
                <w:bCs/>
                <w:vertAlign w:val="subscript"/>
                <w:lang w:val="en-GB"/>
              </w:rPr>
              <w:t>ng/ml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15F6584" w14:textId="77777777" w:rsidR="002E10B7" w:rsidRDefault="002E10B7" w:rsidP="00D05360">
            <w:pPr>
              <w:pStyle w:val="Sarkain2"/>
              <w:ind w:left="0"/>
              <w:jc w:val="center"/>
              <w:rPr>
                <w:bCs/>
                <w:vertAlign w:val="subscript"/>
                <w:lang w:val="de-DE"/>
              </w:rPr>
            </w:pPr>
            <w:proofErr w:type="spellStart"/>
            <w:r>
              <w:rPr>
                <w:bCs/>
                <w:lang w:val="de-DE"/>
              </w:rPr>
              <w:t>t</w:t>
            </w:r>
            <w:r>
              <w:rPr>
                <w:bCs/>
                <w:vertAlign w:val="subscript"/>
                <w:lang w:val="de-DE"/>
              </w:rPr>
              <w:t>max</w:t>
            </w:r>
            <w:proofErr w:type="spellEnd"/>
          </w:p>
          <w:p w14:paraId="13C634C0" w14:textId="77777777" w:rsidR="002E10B7" w:rsidRDefault="002E10B7" w:rsidP="00D05360">
            <w:pPr>
              <w:pStyle w:val="Sarkain2"/>
              <w:ind w:left="0"/>
              <w:jc w:val="center"/>
              <w:rPr>
                <w:bCs/>
                <w:lang w:val="de-DE"/>
              </w:rPr>
            </w:pPr>
            <w:r>
              <w:rPr>
                <w:bCs/>
                <w:vertAlign w:val="subscript"/>
                <w:lang w:val="de-DE"/>
              </w:rPr>
              <w:t>h</w:t>
            </w:r>
          </w:p>
        </w:tc>
      </w:tr>
      <w:tr w:rsidR="002E10B7" w14:paraId="55F5930D" w14:textId="77777777" w:rsidTr="00D05360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8F1B" w14:textId="77777777" w:rsidR="002E10B7" w:rsidRDefault="002E10B7" w:rsidP="00D05360">
            <w:pPr>
              <w:pStyle w:val="Sarkain2"/>
              <w:ind w:left="0"/>
              <w:rPr>
                <w:bCs/>
                <w:sz w:val="20"/>
                <w:lang w:val="en-GB"/>
              </w:rPr>
            </w:pPr>
            <w:r>
              <w:rPr>
                <w:bCs/>
                <w:sz w:val="20"/>
                <w:lang w:val="en-GB"/>
              </w:rPr>
              <w:t>Test</w:t>
            </w:r>
          </w:p>
          <w:p w14:paraId="4082D042" w14:textId="77777777" w:rsidR="002E10B7" w:rsidRDefault="002E10B7" w:rsidP="00D05360">
            <w:pPr>
              <w:pStyle w:val="Sarkain2"/>
              <w:ind w:left="0"/>
              <w:rPr>
                <w:bCs/>
                <w:sz w:val="20"/>
                <w:lang w:val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3875" w14:textId="77777777" w:rsidR="002E10B7" w:rsidRDefault="002E10B7" w:rsidP="00D05360">
            <w:pPr>
              <w:pStyle w:val="Sarkain2"/>
              <w:ind w:left="0"/>
              <w:jc w:val="center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582.258 ± 119.2790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E175" w14:textId="77777777" w:rsidR="002E10B7" w:rsidRDefault="002E10B7" w:rsidP="00D05360">
            <w:pPr>
              <w:pStyle w:val="Sarkain2"/>
              <w:ind w:left="0"/>
              <w:jc w:val="center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597.420 ± 129.5001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C1035" w14:textId="77777777" w:rsidR="002E10B7" w:rsidRDefault="002E10B7" w:rsidP="00D05360">
            <w:pPr>
              <w:pStyle w:val="Sarkain2"/>
              <w:ind w:left="0"/>
              <w:jc w:val="center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80.436 ± 18.6554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69EC5" w14:textId="77777777" w:rsidR="002E10B7" w:rsidRDefault="002E10B7" w:rsidP="00D05360">
            <w:pPr>
              <w:pStyle w:val="Sarkain2"/>
              <w:ind w:left="0"/>
              <w:jc w:val="center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1.000 ( 0.50 - 4.50)</w:t>
            </w:r>
          </w:p>
        </w:tc>
      </w:tr>
      <w:tr w:rsidR="002E10B7" w14:paraId="410D9AD2" w14:textId="77777777" w:rsidTr="00D05360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4F5D" w14:textId="77777777" w:rsidR="002E10B7" w:rsidRDefault="002E10B7" w:rsidP="00D05360">
            <w:pPr>
              <w:pStyle w:val="Sarkain2"/>
              <w:ind w:left="0"/>
              <w:rPr>
                <w:bCs/>
                <w:sz w:val="20"/>
                <w:lang w:val="en-GB"/>
              </w:rPr>
            </w:pPr>
            <w:r>
              <w:rPr>
                <w:bCs/>
                <w:sz w:val="20"/>
                <w:lang w:val="en-GB"/>
              </w:rPr>
              <w:t>Reference</w:t>
            </w:r>
          </w:p>
          <w:p w14:paraId="1E4C7403" w14:textId="77777777" w:rsidR="002E10B7" w:rsidRDefault="002E10B7" w:rsidP="00D05360">
            <w:pPr>
              <w:pStyle w:val="Sarkain2"/>
              <w:ind w:left="0"/>
              <w:rPr>
                <w:bCs/>
                <w:sz w:val="20"/>
                <w:lang w:val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B46AB" w14:textId="77777777" w:rsidR="002E10B7" w:rsidRDefault="002E10B7" w:rsidP="00D05360">
            <w:pPr>
              <w:pStyle w:val="Sarkain2"/>
              <w:ind w:left="0"/>
              <w:jc w:val="center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589.838 ± 109.4097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F513" w14:textId="77777777" w:rsidR="002E10B7" w:rsidRDefault="002E10B7" w:rsidP="00D05360">
            <w:pPr>
              <w:pStyle w:val="Sarkain2"/>
              <w:ind w:left="0"/>
              <w:jc w:val="center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606.210 ± 122.2270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0A38E" w14:textId="77777777" w:rsidR="002E10B7" w:rsidRDefault="002E10B7" w:rsidP="00D05360">
            <w:pPr>
              <w:pStyle w:val="Sarkain2"/>
              <w:ind w:left="0"/>
              <w:jc w:val="center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83.398 ± 22.5851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F6DA2" w14:textId="77777777" w:rsidR="002E10B7" w:rsidRDefault="002E10B7" w:rsidP="00D05360">
            <w:pPr>
              <w:pStyle w:val="Sarkain2"/>
              <w:ind w:left="0"/>
              <w:jc w:val="center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1.125 ( 0.33 - 5.00)</w:t>
            </w:r>
          </w:p>
        </w:tc>
      </w:tr>
      <w:tr w:rsidR="002E10B7" w14:paraId="50A3BB9B" w14:textId="77777777" w:rsidTr="00D05360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4241" w14:textId="77777777" w:rsidR="002E10B7" w:rsidRDefault="002E10B7" w:rsidP="00D05360">
            <w:pPr>
              <w:pStyle w:val="Sarkain2"/>
              <w:ind w:left="0"/>
              <w:rPr>
                <w:bCs/>
                <w:sz w:val="20"/>
                <w:lang w:val="en-GB"/>
              </w:rPr>
            </w:pPr>
            <w:r>
              <w:rPr>
                <w:bCs/>
                <w:sz w:val="20"/>
                <w:lang w:val="en-GB"/>
              </w:rPr>
              <w:t>*Ratio (90% CI)</w:t>
            </w:r>
          </w:p>
          <w:p w14:paraId="126F9AE5" w14:textId="77777777" w:rsidR="002E10B7" w:rsidRDefault="002E10B7" w:rsidP="00D05360">
            <w:pPr>
              <w:pStyle w:val="Sarkain2"/>
              <w:ind w:left="0"/>
              <w:rPr>
                <w:bCs/>
                <w:sz w:val="20"/>
                <w:lang w:val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1084" w14:textId="77777777" w:rsidR="002E10B7" w:rsidRDefault="002E10B7" w:rsidP="00D05360">
            <w:pPr>
              <w:pStyle w:val="Sarkain2"/>
              <w:ind w:left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96.01% - 100.84%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832D" w14:textId="77777777" w:rsidR="002E10B7" w:rsidRDefault="002E10B7" w:rsidP="00D05360">
            <w:pPr>
              <w:pStyle w:val="Sarkain2"/>
              <w:ind w:left="0"/>
              <w:jc w:val="center"/>
              <w:rPr>
                <w:b w:val="0"/>
                <w:sz w:val="20"/>
                <w:lang w:val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92C6A" w14:textId="77777777" w:rsidR="002E10B7" w:rsidRDefault="002E10B7" w:rsidP="00D05360">
            <w:pPr>
              <w:pStyle w:val="Sarkain2"/>
              <w:ind w:left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91.80% - 103.24%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BAE6" w14:textId="77777777" w:rsidR="002E10B7" w:rsidRDefault="002E10B7" w:rsidP="00D05360">
            <w:pPr>
              <w:pStyle w:val="Sarkain2"/>
              <w:ind w:left="0"/>
              <w:jc w:val="center"/>
              <w:rPr>
                <w:b w:val="0"/>
                <w:sz w:val="20"/>
                <w:lang w:val="en-GB"/>
              </w:rPr>
            </w:pPr>
          </w:p>
        </w:tc>
      </w:tr>
      <w:tr w:rsidR="002E10B7" w14:paraId="679CDE30" w14:textId="77777777" w:rsidTr="00D05360">
        <w:tc>
          <w:tcPr>
            <w:tcW w:w="8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11009" w14:textId="77777777" w:rsidR="002E10B7" w:rsidRPr="002E10B7" w:rsidRDefault="002E10B7" w:rsidP="00D053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</w:rPr>
            </w:pPr>
            <w:r w:rsidRPr="002E10B7">
              <w:rPr>
                <w:rFonts w:ascii="Times New Roman" w:hAnsi="Times New Roman" w:cs="Times New Roman"/>
                <w:bCs/>
                <w:sz w:val="16"/>
              </w:rPr>
              <w:t>AUC</w:t>
            </w:r>
            <w:r w:rsidRPr="002E10B7">
              <w:rPr>
                <w:rFonts w:ascii="Times New Roman" w:hAnsi="Times New Roman" w:cs="Times New Roman"/>
                <w:bCs/>
                <w:sz w:val="16"/>
                <w:vertAlign w:val="subscript"/>
              </w:rPr>
              <w:t>0-t</w:t>
            </w:r>
            <w:r w:rsidRPr="002E10B7">
              <w:rPr>
                <w:rFonts w:ascii="Times New Roman" w:hAnsi="Times New Roman" w:cs="Times New Roman"/>
                <w:sz w:val="16"/>
                <w:vertAlign w:val="subscript"/>
              </w:rPr>
              <w:t xml:space="preserve"> </w:t>
            </w:r>
            <w:r w:rsidRPr="002E10B7">
              <w:rPr>
                <w:rFonts w:ascii="Times New Roman" w:hAnsi="Times New Roman" w:cs="Times New Roman"/>
                <w:sz w:val="16"/>
                <w:vertAlign w:val="subscript"/>
              </w:rPr>
              <w:tab/>
            </w:r>
            <w:r w:rsidRPr="009C7AC5">
              <w:rPr>
                <w:rFonts w:ascii="Times New Roman" w:hAnsi="Times New Roman" w:cs="Times New Roman"/>
                <w:bCs/>
                <w:sz w:val="16"/>
              </w:rPr>
              <w:t>Area sotto la curva dal tempo zero al tempo t</w:t>
            </w:r>
          </w:p>
          <w:p w14:paraId="0AB1043C" w14:textId="77777777" w:rsidR="002E10B7" w:rsidRPr="002E10B7" w:rsidRDefault="002E10B7" w:rsidP="00D053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</w:rPr>
            </w:pPr>
            <w:r w:rsidRPr="002E10B7">
              <w:rPr>
                <w:rFonts w:ascii="Times New Roman" w:hAnsi="Times New Roman" w:cs="Times New Roman"/>
                <w:bCs/>
                <w:sz w:val="16"/>
              </w:rPr>
              <w:t>AUC</w:t>
            </w:r>
            <w:r w:rsidRPr="002E10B7">
              <w:rPr>
                <w:rFonts w:ascii="Times New Roman" w:hAnsi="Times New Roman" w:cs="Times New Roman"/>
                <w:bCs/>
                <w:sz w:val="16"/>
                <w:vertAlign w:val="subscript"/>
              </w:rPr>
              <w:t>0-∞</w:t>
            </w:r>
            <w:r w:rsidRPr="002E10B7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2E10B7">
              <w:rPr>
                <w:rFonts w:ascii="Times New Roman" w:hAnsi="Times New Roman" w:cs="Times New Roman"/>
                <w:sz w:val="16"/>
              </w:rPr>
              <w:tab/>
            </w:r>
            <w:r w:rsidRPr="009C7AC5">
              <w:rPr>
                <w:rFonts w:ascii="Times New Roman" w:hAnsi="Times New Roman" w:cs="Times New Roman"/>
                <w:bCs/>
                <w:sz w:val="16"/>
              </w:rPr>
              <w:t xml:space="preserve">Area sotto la curva estrapolata al tempo infinito </w:t>
            </w:r>
          </w:p>
          <w:p w14:paraId="43FC38E7" w14:textId="77777777" w:rsidR="002E10B7" w:rsidRPr="002E10B7" w:rsidRDefault="002E10B7" w:rsidP="008263C2">
            <w:pPr>
              <w:autoSpaceDE w:val="0"/>
              <w:autoSpaceDN w:val="0"/>
              <w:adjustRightInd w:val="0"/>
              <w:spacing w:after="0"/>
              <w:rPr>
                <w:sz w:val="16"/>
              </w:rPr>
            </w:pPr>
            <w:proofErr w:type="spellStart"/>
            <w:r w:rsidRPr="002E10B7">
              <w:rPr>
                <w:rFonts w:ascii="Times New Roman" w:hAnsi="Times New Roman" w:cs="Times New Roman"/>
                <w:bCs/>
                <w:sz w:val="16"/>
              </w:rPr>
              <w:t>C</w:t>
            </w:r>
            <w:r w:rsidRPr="002E10B7">
              <w:rPr>
                <w:rFonts w:ascii="Times New Roman" w:hAnsi="Times New Roman" w:cs="Times New Roman"/>
                <w:bCs/>
                <w:sz w:val="16"/>
                <w:vertAlign w:val="subscript"/>
              </w:rPr>
              <w:t>max</w:t>
            </w:r>
            <w:proofErr w:type="spellEnd"/>
            <w:r w:rsidRPr="002E10B7">
              <w:rPr>
                <w:rFonts w:ascii="Times New Roman" w:hAnsi="Times New Roman" w:cs="Times New Roman"/>
                <w:bCs/>
                <w:sz w:val="16"/>
              </w:rPr>
              <w:t xml:space="preserve"> </w:t>
            </w:r>
            <w:r w:rsidRPr="002E10B7">
              <w:rPr>
                <w:rFonts w:ascii="Times New Roman" w:hAnsi="Times New Roman" w:cs="Times New Roman"/>
                <w:sz w:val="16"/>
              </w:rPr>
              <w:tab/>
              <w:t>Concentrazione plasmatica massima</w:t>
            </w:r>
          </w:p>
          <w:p w14:paraId="3E1FDE38" w14:textId="77777777" w:rsidR="002E10B7" w:rsidRPr="002E10B7" w:rsidRDefault="002E10B7" w:rsidP="00D05360">
            <w:pPr>
              <w:pStyle w:val="Sarkain2"/>
              <w:tabs>
                <w:tab w:val="center" w:pos="4429"/>
              </w:tabs>
              <w:ind w:left="0"/>
              <w:rPr>
                <w:b w:val="0"/>
                <w:sz w:val="20"/>
                <w:lang w:val="it-IT"/>
              </w:rPr>
            </w:pPr>
            <w:proofErr w:type="spellStart"/>
            <w:r w:rsidRPr="002E10B7">
              <w:rPr>
                <w:b w:val="0"/>
                <w:bCs/>
                <w:sz w:val="16"/>
                <w:lang w:val="it-IT"/>
              </w:rPr>
              <w:t>t</w:t>
            </w:r>
            <w:r w:rsidRPr="002E10B7">
              <w:rPr>
                <w:b w:val="0"/>
                <w:bCs/>
                <w:sz w:val="16"/>
                <w:vertAlign w:val="subscript"/>
                <w:lang w:val="it-IT"/>
              </w:rPr>
              <w:t>max</w:t>
            </w:r>
            <w:proofErr w:type="spellEnd"/>
            <w:r w:rsidRPr="002E10B7">
              <w:rPr>
                <w:b w:val="0"/>
                <w:bCs/>
                <w:sz w:val="16"/>
                <w:lang w:val="it-IT"/>
              </w:rPr>
              <w:t xml:space="preserve">            Tempo al picco di concentrazione plasmatica</w:t>
            </w:r>
          </w:p>
        </w:tc>
      </w:tr>
    </w:tbl>
    <w:p w14:paraId="0804BB19" w14:textId="77777777" w:rsidR="002E10B7" w:rsidRDefault="002E10B7" w:rsidP="002E10B7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388A5186" w14:textId="77777777" w:rsidR="002E10B7" w:rsidRPr="009C7AC5" w:rsidRDefault="002E10B7" w:rsidP="002E10B7">
      <w:pPr>
        <w:spacing w:after="0" w:line="240" w:lineRule="auto"/>
        <w:rPr>
          <w:rFonts w:cstheme="minorHAnsi"/>
          <w:sz w:val="24"/>
          <w:szCs w:val="24"/>
        </w:rPr>
      </w:pPr>
      <w:r w:rsidRPr="009C7AC5">
        <w:rPr>
          <w:rFonts w:cstheme="minorHAnsi"/>
          <w:i/>
          <w:sz w:val="24"/>
          <w:szCs w:val="24"/>
        </w:rPr>
        <w:t xml:space="preserve">Conclusioni sulla </w:t>
      </w:r>
      <w:proofErr w:type="spellStart"/>
      <w:r w:rsidRPr="009C7AC5">
        <w:rPr>
          <w:rFonts w:cstheme="minorHAnsi"/>
          <w:i/>
          <w:sz w:val="24"/>
          <w:szCs w:val="24"/>
        </w:rPr>
        <w:t>bioequivalenza</w:t>
      </w:r>
      <w:proofErr w:type="spellEnd"/>
      <w:r>
        <w:rPr>
          <w:rFonts w:cstheme="minorHAnsi"/>
          <w:sz w:val="24"/>
          <w:szCs w:val="24"/>
        </w:rPr>
        <w:t>:</w:t>
      </w:r>
    </w:p>
    <w:p w14:paraId="2D66584C" w14:textId="77777777" w:rsidR="002E10B7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risultati de</w:t>
      </w:r>
      <w:r>
        <w:rPr>
          <w:rFonts w:cstheme="minorHAnsi"/>
          <w:sz w:val="24"/>
          <w:szCs w:val="24"/>
        </w:rPr>
        <w:t>llo</w:t>
      </w:r>
      <w:r w:rsidRPr="00A31CC1">
        <w:rPr>
          <w:rFonts w:cstheme="minorHAnsi"/>
          <w:sz w:val="24"/>
          <w:szCs w:val="24"/>
        </w:rPr>
        <w:t xml:space="preserve"> studi</w:t>
      </w:r>
      <w:r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mostrano che gli intervalli di confidenza dei parametri farmacocinetici studiati cadono nel </w:t>
      </w:r>
      <w:proofErr w:type="spellStart"/>
      <w:r w:rsidRPr="00A31CC1">
        <w:rPr>
          <w:rFonts w:cstheme="minorHAnsi"/>
          <w:sz w:val="24"/>
          <w:szCs w:val="24"/>
        </w:rPr>
        <w:t>range</w:t>
      </w:r>
      <w:proofErr w:type="spellEnd"/>
      <w:r w:rsidRPr="00A31CC1">
        <w:rPr>
          <w:rFonts w:cstheme="minorHAnsi"/>
          <w:sz w:val="24"/>
          <w:szCs w:val="24"/>
        </w:rPr>
        <w:t xml:space="preserve"> di accettabilità di 80-125%, in accordo con le linee guida correnti.</w:t>
      </w:r>
    </w:p>
    <w:p w14:paraId="4A56348D" w14:textId="77777777" w:rsidR="002E10B7" w:rsidRPr="00A31CC1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82AD000" w14:textId="77777777" w:rsidR="002E10B7" w:rsidRDefault="002E10B7" w:rsidP="002E10B7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I risultati dello studio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</w:t>
      </w:r>
      <w:r w:rsidRPr="005A37E4">
        <w:rPr>
          <w:rFonts w:cstheme="minorHAnsi"/>
          <w:sz w:val="24"/>
          <w:szCs w:val="24"/>
        </w:rPr>
        <w:t>20-VIN-</w:t>
      </w:r>
      <w:r>
        <w:rPr>
          <w:rFonts w:cstheme="minorHAnsi"/>
          <w:sz w:val="24"/>
          <w:szCs w:val="24"/>
        </w:rPr>
        <w:t xml:space="preserve">0041 </w:t>
      </w:r>
      <w:r w:rsidRPr="00A31CC1">
        <w:rPr>
          <w:rFonts w:cstheme="minorHAnsi"/>
          <w:sz w:val="24"/>
          <w:szCs w:val="24"/>
        </w:rPr>
        <w:t xml:space="preserve">condotto con il dosaggio da </w:t>
      </w:r>
      <w:r>
        <w:rPr>
          <w:rFonts w:cstheme="minorHAnsi"/>
          <w:sz w:val="24"/>
          <w:szCs w:val="24"/>
        </w:rPr>
        <w:t>7,5</w:t>
      </w:r>
      <w:r w:rsidRPr="00A31CC1">
        <w:rPr>
          <w:rFonts w:cstheme="minorHAnsi"/>
          <w:sz w:val="24"/>
          <w:szCs w:val="24"/>
        </w:rPr>
        <w:t xml:space="preserve">mg </w:t>
      </w:r>
      <w:r>
        <w:rPr>
          <w:rFonts w:cstheme="minorHAnsi"/>
          <w:sz w:val="24"/>
          <w:szCs w:val="24"/>
        </w:rPr>
        <w:t>possono</w:t>
      </w:r>
      <w:r w:rsidRPr="00A31CC1">
        <w:rPr>
          <w:rFonts w:cstheme="minorHAnsi"/>
          <w:sz w:val="24"/>
          <w:szCs w:val="24"/>
        </w:rPr>
        <w:t xml:space="preserve"> essere estrapolat</w:t>
      </w:r>
      <w:r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a</w:t>
      </w:r>
      <w:r>
        <w:rPr>
          <w:rFonts w:cstheme="minorHAnsi"/>
          <w:sz w:val="24"/>
          <w:szCs w:val="24"/>
        </w:rPr>
        <w:t xml:space="preserve">l </w:t>
      </w:r>
      <w:r w:rsidRPr="00A31CC1">
        <w:rPr>
          <w:rFonts w:cstheme="minorHAnsi"/>
          <w:sz w:val="24"/>
          <w:szCs w:val="24"/>
        </w:rPr>
        <w:t>dosaggi</w:t>
      </w:r>
      <w:r>
        <w:rPr>
          <w:rFonts w:cstheme="minorHAnsi"/>
          <w:sz w:val="24"/>
          <w:szCs w:val="24"/>
        </w:rPr>
        <w:t xml:space="preserve">o 3,5 </w:t>
      </w:r>
      <w:r w:rsidRPr="00A31CC1">
        <w:rPr>
          <w:rFonts w:cstheme="minorHAnsi"/>
          <w:sz w:val="24"/>
          <w:szCs w:val="24"/>
        </w:rPr>
        <w:t xml:space="preserve">mg, </w:t>
      </w:r>
      <w:r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in quanto sono stati soddisfatti i requisiti per la concessione del </w:t>
      </w:r>
      <w:proofErr w:type="spellStart"/>
      <w:r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>waiver</w:t>
      </w:r>
      <w:proofErr w:type="spellEnd"/>
      <w:r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 di cui al paragrafo 4.1.6 della linea guida </w:t>
      </w:r>
      <w:proofErr w:type="spellStart"/>
      <w:r w:rsidRPr="00A31CC1">
        <w:rPr>
          <w:rFonts w:cstheme="minorHAnsi"/>
          <w:sz w:val="24"/>
          <w:szCs w:val="24"/>
        </w:rPr>
        <w:t>Guideline</w:t>
      </w:r>
      <w:proofErr w:type="spellEnd"/>
      <w:r w:rsidRPr="00A31CC1">
        <w:rPr>
          <w:rFonts w:cstheme="minorHAnsi"/>
          <w:sz w:val="24"/>
          <w:szCs w:val="24"/>
        </w:rPr>
        <w:t xml:space="preserve"> on the </w:t>
      </w:r>
      <w:proofErr w:type="spellStart"/>
      <w:r w:rsidRPr="00A31CC1">
        <w:rPr>
          <w:rFonts w:cstheme="minorHAnsi"/>
          <w:sz w:val="24"/>
          <w:szCs w:val="24"/>
        </w:rPr>
        <w:t>Investigation</w:t>
      </w:r>
      <w:proofErr w:type="spellEnd"/>
      <w:r w:rsidRPr="00A31CC1">
        <w:rPr>
          <w:rFonts w:cstheme="minorHAnsi"/>
          <w:sz w:val="24"/>
          <w:szCs w:val="24"/>
        </w:rPr>
        <w:t xml:space="preserve"> of </w:t>
      </w:r>
      <w:proofErr w:type="spellStart"/>
      <w:r w:rsidRPr="00A31CC1">
        <w:rPr>
          <w:rFonts w:cstheme="minorHAnsi"/>
          <w:sz w:val="24"/>
          <w:szCs w:val="24"/>
        </w:rPr>
        <w:t>Bioequivalence</w:t>
      </w:r>
      <w:proofErr w:type="spellEnd"/>
      <w:r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>CPMP/EWP/QWP/98 rev.1/</w:t>
      </w:r>
      <w:proofErr w:type="spellStart"/>
      <w:r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>Corr</w:t>
      </w:r>
      <w:proofErr w:type="spellEnd"/>
      <w:r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>**</w:t>
      </w:r>
      <w:r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: </w:t>
      </w:r>
    </w:p>
    <w:p w14:paraId="4D7A747A" w14:textId="77777777" w:rsidR="002E10B7" w:rsidRPr="00A31CC1" w:rsidRDefault="002E10B7" w:rsidP="002E10B7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6DD35C69" w14:textId="77777777" w:rsidR="002E10B7" w:rsidRPr="002E10B7" w:rsidRDefault="002E10B7" w:rsidP="002E10B7">
      <w:pPr>
        <w:pStyle w:val="Rientronormale"/>
        <w:numPr>
          <w:ilvl w:val="0"/>
          <w:numId w:val="10"/>
        </w:numPr>
        <w:ind w:left="709"/>
        <w:jc w:val="both"/>
        <w:rPr>
          <w:i/>
          <w:lang w:val="it-IT"/>
        </w:rPr>
      </w:pPr>
      <w:r>
        <w:rPr>
          <w:rFonts w:cstheme="minorHAnsi"/>
          <w:szCs w:val="24"/>
        </w:rPr>
        <w:t xml:space="preserve">Zopiclone 7,5 mg e 3,5mg </w:t>
      </w:r>
      <w:r w:rsidRPr="002E10B7">
        <w:rPr>
          <w:lang w:val="it-IT"/>
        </w:rPr>
        <w:t>compresse rivestite con film sono prodotti usando lo stesso processo produttivo;</w:t>
      </w:r>
    </w:p>
    <w:p w14:paraId="608D1E28" w14:textId="368A1F16" w:rsidR="002E10B7" w:rsidRPr="002E10B7" w:rsidRDefault="002E10B7" w:rsidP="002E10B7">
      <w:pPr>
        <w:pStyle w:val="Rientronormale"/>
        <w:numPr>
          <w:ilvl w:val="0"/>
          <w:numId w:val="10"/>
        </w:numPr>
        <w:ind w:left="709"/>
        <w:jc w:val="both"/>
        <w:rPr>
          <w:i/>
          <w:lang w:val="it-IT"/>
        </w:rPr>
      </w:pPr>
      <w:r w:rsidRPr="002E10B7">
        <w:rPr>
          <w:lang w:val="it-IT"/>
        </w:rPr>
        <w:t xml:space="preserve">La composizione qualitativa di </w:t>
      </w:r>
      <w:r>
        <w:rPr>
          <w:rFonts w:cstheme="minorHAnsi"/>
          <w:szCs w:val="24"/>
        </w:rPr>
        <w:t xml:space="preserve">Zopiclone 7,5 mg e 3,5mg </w:t>
      </w:r>
      <w:r w:rsidRPr="002E10B7">
        <w:rPr>
          <w:lang w:val="it-IT"/>
        </w:rPr>
        <w:t>compresse rivestite con film compresse è la stessa, fatta eccezione per il materiale di rivestimento;</w:t>
      </w:r>
    </w:p>
    <w:p w14:paraId="20CAC1AB" w14:textId="77777777" w:rsidR="002E10B7" w:rsidRPr="00CD1F09" w:rsidRDefault="002E10B7" w:rsidP="002E10B7">
      <w:pPr>
        <w:pStyle w:val="Rientronormale"/>
        <w:numPr>
          <w:ilvl w:val="0"/>
          <w:numId w:val="10"/>
        </w:numPr>
        <w:ind w:left="709"/>
        <w:jc w:val="both"/>
        <w:rPr>
          <w:i/>
          <w:lang w:val="en-GB"/>
        </w:rPr>
      </w:pPr>
      <w:r>
        <w:rPr>
          <w:rFonts w:cstheme="minorHAnsi"/>
          <w:szCs w:val="24"/>
        </w:rPr>
        <w:t xml:space="preserve">Zopiclone 7,5 mg e 3,5mg </w:t>
      </w:r>
      <w:r w:rsidRPr="002E10B7">
        <w:rPr>
          <w:lang w:val="it-IT"/>
        </w:rPr>
        <w:t xml:space="preserve">compresse rivestite con film hanno formulazioni quantitativamente proporzionali. </w:t>
      </w:r>
      <w:r>
        <w:rPr>
          <w:lang w:val="en-GB"/>
        </w:rPr>
        <w:t xml:space="preserve">La sola </w:t>
      </w:r>
      <w:proofErr w:type="spellStart"/>
      <w:r>
        <w:rPr>
          <w:lang w:val="en-GB"/>
        </w:rPr>
        <w:t>differenza</w:t>
      </w:r>
      <w:proofErr w:type="spellEnd"/>
      <w:r>
        <w:rPr>
          <w:lang w:val="en-GB"/>
        </w:rPr>
        <w:t xml:space="preserve"> è </w:t>
      </w:r>
      <w:proofErr w:type="spellStart"/>
      <w:r>
        <w:rPr>
          <w:lang w:val="en-GB"/>
        </w:rPr>
        <w:t>nel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materiale</w:t>
      </w:r>
      <w:proofErr w:type="spellEnd"/>
      <w:r>
        <w:rPr>
          <w:lang w:val="en-GB"/>
        </w:rPr>
        <w:t xml:space="preserve"> di </w:t>
      </w:r>
      <w:proofErr w:type="spellStart"/>
      <w:r>
        <w:rPr>
          <w:lang w:val="en-GB"/>
        </w:rPr>
        <w:t>rivestimento</w:t>
      </w:r>
      <w:proofErr w:type="spellEnd"/>
      <w:r>
        <w:rPr>
          <w:lang w:val="en-GB"/>
        </w:rPr>
        <w:t>.</w:t>
      </w:r>
    </w:p>
    <w:p w14:paraId="1D748E7F" w14:textId="77777777" w:rsidR="002E10B7" w:rsidRPr="002E10B7" w:rsidRDefault="002E10B7" w:rsidP="002E10B7">
      <w:pPr>
        <w:pStyle w:val="Rientronormale"/>
        <w:numPr>
          <w:ilvl w:val="0"/>
          <w:numId w:val="10"/>
        </w:numPr>
        <w:ind w:left="709" w:hanging="425"/>
        <w:jc w:val="both"/>
        <w:rPr>
          <w:i/>
          <w:lang w:val="it-IT"/>
        </w:rPr>
      </w:pPr>
      <w:r w:rsidRPr="002E10B7">
        <w:rPr>
          <w:lang w:val="it-IT"/>
        </w:rPr>
        <w:t xml:space="preserve">Il profilo di dissoluzione di </w:t>
      </w:r>
      <w:proofErr w:type="spellStart"/>
      <w:r w:rsidRPr="002E10B7">
        <w:rPr>
          <w:lang w:val="it-IT"/>
        </w:rPr>
        <w:t>Zopiclone</w:t>
      </w:r>
      <w:proofErr w:type="spellEnd"/>
      <w:r w:rsidRPr="002E10B7">
        <w:rPr>
          <w:lang w:val="it-IT"/>
        </w:rPr>
        <w:t xml:space="preserve"> 7,5 mg compresse rivestite con film (Test) e </w:t>
      </w:r>
      <w:r>
        <w:rPr>
          <w:rFonts w:cstheme="minorHAnsi"/>
          <w:szCs w:val="24"/>
        </w:rPr>
        <w:t xml:space="preserve">Zopiclone </w:t>
      </w:r>
      <w:r w:rsidRPr="002E10B7">
        <w:rPr>
          <w:lang w:val="it-IT"/>
        </w:rPr>
        <w:t>3,5mg compresse rivestite con film (Test) è simile.</w:t>
      </w:r>
    </w:p>
    <w:p w14:paraId="1B8B5BA8" w14:textId="77777777" w:rsidR="002E10B7" w:rsidRPr="00601BB8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47F460" w14:textId="77777777" w:rsidR="002E10B7" w:rsidRPr="00601BB8" w:rsidRDefault="002E10B7" w:rsidP="002E10B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601BB8">
        <w:rPr>
          <w:rFonts w:cstheme="minorHAnsi"/>
          <w:b/>
          <w:sz w:val="24"/>
          <w:szCs w:val="24"/>
        </w:rPr>
        <w:t>Efficacia e sicurezza clinica</w:t>
      </w:r>
    </w:p>
    <w:p w14:paraId="7F76F77D" w14:textId="3216375D" w:rsidR="002E10B7" w:rsidRPr="00601BB8" w:rsidRDefault="002E10B7" w:rsidP="002E10B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01BB8">
        <w:rPr>
          <w:rFonts w:cstheme="minorHAnsi"/>
          <w:sz w:val="24"/>
          <w:szCs w:val="24"/>
        </w:rPr>
        <w:t>Non sono stati presentati nuovi dati di efficacia e sicurezza clinica: il profilo di sicurezza e l’efficacia del principi</w:t>
      </w:r>
      <w:r w:rsidR="002C2EB2">
        <w:rPr>
          <w:rFonts w:cstheme="minorHAnsi"/>
          <w:sz w:val="24"/>
          <w:szCs w:val="24"/>
        </w:rPr>
        <w:t>o</w:t>
      </w:r>
      <w:r w:rsidRPr="00601BB8">
        <w:rPr>
          <w:rFonts w:cstheme="minorHAnsi"/>
          <w:sz w:val="24"/>
          <w:szCs w:val="24"/>
        </w:rPr>
        <w:t xml:space="preserve"> attiv</w:t>
      </w:r>
      <w:r w:rsidR="002C2EB2">
        <w:rPr>
          <w:rFonts w:cstheme="minorHAnsi"/>
          <w:sz w:val="24"/>
          <w:szCs w:val="24"/>
        </w:rPr>
        <w:t>o</w:t>
      </w:r>
      <w:r w:rsidRPr="00601BB8">
        <w:rPr>
          <w:rFonts w:cstheme="minorHAnsi"/>
          <w:sz w:val="24"/>
          <w:szCs w:val="24"/>
        </w:rPr>
        <w:t xml:space="preserve"> di </w:t>
      </w:r>
      <w:proofErr w:type="spellStart"/>
      <w:r w:rsidRPr="00601BB8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601BB8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601BB8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Pr="00601BB8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601BB8">
        <w:rPr>
          <w:rFonts w:cstheme="minorHAnsi"/>
          <w:sz w:val="24"/>
          <w:szCs w:val="24"/>
        </w:rPr>
        <w:t xml:space="preserve">è ben conosciuto. </w:t>
      </w:r>
    </w:p>
    <w:p w14:paraId="081D90A7" w14:textId="77777777" w:rsidR="009254CC" w:rsidRPr="00601BB8" w:rsidRDefault="009254CC" w:rsidP="009254C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0F355D9" w14:textId="77777777" w:rsidR="004B5B15" w:rsidRPr="00601BB8" w:rsidRDefault="004B5B15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14:paraId="12311AE2" w14:textId="77777777" w:rsidR="004E5A39" w:rsidRPr="00F626B0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F626B0">
        <w:rPr>
          <w:rFonts w:cstheme="minorHAnsi"/>
          <w:b/>
          <w:sz w:val="24"/>
          <w:szCs w:val="24"/>
        </w:rPr>
        <w:t>Piano di Valutazione del Rischio (</w:t>
      </w:r>
      <w:r w:rsidRPr="00F626B0">
        <w:rPr>
          <w:rFonts w:cstheme="minorHAnsi"/>
          <w:b/>
          <w:i/>
          <w:sz w:val="24"/>
          <w:szCs w:val="24"/>
        </w:rPr>
        <w:t>Risk Management Plan</w:t>
      </w:r>
      <w:r w:rsidRPr="00F626B0">
        <w:rPr>
          <w:rFonts w:cstheme="minorHAnsi"/>
          <w:b/>
          <w:sz w:val="24"/>
          <w:szCs w:val="24"/>
        </w:rPr>
        <w:t xml:space="preserve"> - RMP)</w:t>
      </w:r>
    </w:p>
    <w:p w14:paraId="5AD2DE7B" w14:textId="77777777" w:rsidR="00B766C6" w:rsidRPr="00B766C6" w:rsidRDefault="00B766C6" w:rsidP="00B766C6">
      <w:pPr>
        <w:pStyle w:val="Paragrafoelenco"/>
        <w:spacing w:after="0"/>
        <w:ind w:left="0"/>
        <w:jc w:val="both"/>
        <w:rPr>
          <w:rFonts w:eastAsia="Calibri" w:cstheme="minorHAnsi"/>
          <w:sz w:val="24"/>
          <w:szCs w:val="24"/>
          <w:lang w:eastAsia="it-IT"/>
        </w:rPr>
      </w:pPr>
      <w:r w:rsidRPr="00B766C6">
        <w:rPr>
          <w:rFonts w:eastAsia="Calibri" w:cstheme="minorHAnsi"/>
          <w:sz w:val="24"/>
          <w:szCs w:val="24"/>
          <w:lang w:eastAsia="it-IT"/>
        </w:rPr>
        <w:t xml:space="preserve">È stato presentato un RMP in accordo a quanto previsto dalla Direttiva 2001/83/EU </w:t>
      </w:r>
      <w:proofErr w:type="spellStart"/>
      <w:r w:rsidRPr="00B766C6">
        <w:rPr>
          <w:rFonts w:eastAsia="Calibri" w:cstheme="minorHAnsi"/>
          <w:sz w:val="24"/>
          <w:szCs w:val="24"/>
          <w:lang w:eastAsia="it-IT"/>
        </w:rPr>
        <w:t>s.m.i.</w:t>
      </w:r>
      <w:proofErr w:type="spellEnd"/>
      <w:r w:rsidRPr="00B766C6">
        <w:rPr>
          <w:rFonts w:eastAsia="Calibri" w:cstheme="minorHAnsi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Pr="00B766C6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B766C6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B766C6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Pr="00B766C6">
        <w:rPr>
          <w:rFonts w:eastAsia="Calibri" w:cstheme="minorHAnsi"/>
          <w:sz w:val="24"/>
          <w:szCs w:val="24"/>
          <w:lang w:eastAsia="it-IT"/>
        </w:rPr>
        <w:t>.</w:t>
      </w:r>
    </w:p>
    <w:p w14:paraId="66ADF9C3" w14:textId="77777777" w:rsidR="00B766C6" w:rsidRPr="00B766C6" w:rsidRDefault="00B766C6" w:rsidP="00B766C6">
      <w:pPr>
        <w:pStyle w:val="Paragrafoelenco"/>
        <w:spacing w:after="0"/>
        <w:ind w:left="0"/>
        <w:jc w:val="both"/>
        <w:rPr>
          <w:rFonts w:eastAsia="Calibri" w:cstheme="minorHAnsi"/>
          <w:sz w:val="24"/>
          <w:szCs w:val="24"/>
          <w:lang w:eastAsia="it-IT"/>
        </w:rPr>
      </w:pPr>
      <w:r w:rsidRPr="00B766C6">
        <w:rPr>
          <w:rFonts w:eastAsia="Calibri" w:cstheme="minorHAnsi"/>
          <w:sz w:val="24"/>
          <w:szCs w:val="24"/>
          <w:lang w:eastAsia="it-IT"/>
        </w:rPr>
        <w:t>Il riassunto delle problematiche di sicurezza è riportato nella tabella seguente.</w:t>
      </w:r>
    </w:p>
    <w:p w14:paraId="3B5388F4" w14:textId="77777777" w:rsidR="00B766C6" w:rsidRPr="00B766C6" w:rsidRDefault="00B766C6" w:rsidP="00B766C6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B766C6" w:rsidRPr="00B766C6" w14:paraId="754A2571" w14:textId="77777777" w:rsidTr="00D05360">
        <w:trPr>
          <w:jc w:val="center"/>
        </w:trPr>
        <w:tc>
          <w:tcPr>
            <w:tcW w:w="1560" w:type="pct"/>
            <w:shd w:val="clear" w:color="auto" w:fill="auto"/>
          </w:tcPr>
          <w:p w14:paraId="0EB9CDB0" w14:textId="77777777" w:rsidR="00B766C6" w:rsidRPr="00B766C6" w:rsidRDefault="00B766C6" w:rsidP="00D05360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B766C6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B766C6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766C6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B766C6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766C6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091492A3" w14:textId="77777777" w:rsidR="00B766C6" w:rsidRPr="00B766C6" w:rsidRDefault="00B766C6" w:rsidP="00D0536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B766C6">
              <w:rPr>
                <w:rFonts w:cstheme="minorHAnsi"/>
                <w:sz w:val="24"/>
                <w:szCs w:val="24"/>
              </w:rPr>
              <w:t xml:space="preserve">Nessuno </w:t>
            </w:r>
          </w:p>
        </w:tc>
      </w:tr>
      <w:tr w:rsidR="00B766C6" w:rsidRPr="00B766C6" w14:paraId="26FF6ADE" w14:textId="77777777" w:rsidTr="00D05360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8B6307" w14:textId="77777777" w:rsidR="00B766C6" w:rsidRPr="00B766C6" w:rsidRDefault="00B766C6" w:rsidP="00D05360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B766C6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B766C6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766C6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B766C6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766C6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662CA80" w14:textId="77777777" w:rsidR="00B766C6" w:rsidRPr="00B766C6" w:rsidRDefault="00B766C6" w:rsidP="00D05360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B766C6">
              <w:rPr>
                <w:rFonts w:cstheme="minorHAnsi"/>
                <w:sz w:val="24"/>
                <w:szCs w:val="24"/>
                <w:lang w:eastAsia="en-GB"/>
              </w:rPr>
              <w:t>Nessuno</w:t>
            </w:r>
          </w:p>
        </w:tc>
      </w:tr>
      <w:tr w:rsidR="00B766C6" w:rsidRPr="00B766C6" w14:paraId="750978B7" w14:textId="77777777" w:rsidTr="00D05360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B37C60" w14:textId="77777777" w:rsidR="00B766C6" w:rsidRPr="00B766C6" w:rsidRDefault="00B766C6" w:rsidP="00D05360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B766C6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</w:t>
            </w:r>
            <w:proofErr w:type="spellEnd"/>
            <w:r w:rsidRPr="00B766C6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766C6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72B6C" w14:textId="77777777" w:rsidR="00B766C6" w:rsidRPr="00B766C6" w:rsidRDefault="00B766C6" w:rsidP="00D0536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B766C6">
              <w:rPr>
                <w:rFonts w:cstheme="minorHAnsi"/>
                <w:sz w:val="24"/>
                <w:szCs w:val="24"/>
              </w:rPr>
              <w:t>Nessuna</w:t>
            </w:r>
          </w:p>
        </w:tc>
      </w:tr>
    </w:tbl>
    <w:p w14:paraId="07690450" w14:textId="77777777" w:rsidR="00B766C6" w:rsidRPr="00B766C6" w:rsidRDefault="00B766C6" w:rsidP="00B766C6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2D7200A" w14:textId="77777777" w:rsidR="00B766C6" w:rsidRPr="00B766C6" w:rsidRDefault="00B766C6" w:rsidP="00B766C6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B766C6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71F51B90" w14:textId="77777777" w:rsidR="00B766C6" w:rsidRPr="00B766C6" w:rsidRDefault="00B766C6" w:rsidP="00B766C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766C6">
        <w:rPr>
          <w:rFonts w:cstheme="minorHAnsi"/>
          <w:sz w:val="24"/>
          <w:szCs w:val="24"/>
        </w:rPr>
        <w:t xml:space="preserve">Oltre le misure previste nel Riassunto delle caratteristiche del prodotto non sono previste attività addizionali di minimizzazione del rischio. </w:t>
      </w:r>
    </w:p>
    <w:p w14:paraId="632F4DC9" w14:textId="77777777" w:rsidR="00B766C6" w:rsidRPr="00B766C6" w:rsidRDefault="00B766C6" w:rsidP="00B766C6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28C7F635" w14:textId="77777777" w:rsidR="00B766C6" w:rsidRPr="00F626B0" w:rsidRDefault="00B766C6" w:rsidP="00B766C6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B766C6">
        <w:rPr>
          <w:rFonts w:cstheme="minorHAnsi"/>
          <w:sz w:val="24"/>
          <w:szCs w:val="24"/>
        </w:rPr>
        <w:t xml:space="preserve">Per maggiori dettagli circa le attività di farmacovigilanza previste per </w:t>
      </w:r>
      <w:proofErr w:type="spellStart"/>
      <w:r w:rsidRPr="00B766C6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Pr="00B766C6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Pr="00B766C6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Pr="00B766C6">
        <w:rPr>
          <w:rFonts w:eastAsia="Calibri" w:cstheme="minorHAnsi"/>
          <w:sz w:val="24"/>
          <w:szCs w:val="24"/>
          <w:lang w:eastAsia="it-IT"/>
        </w:rPr>
        <w:t xml:space="preserve"> si può consultare il</w:t>
      </w:r>
      <w:r w:rsidRPr="00B766C6">
        <w:rPr>
          <w:rFonts w:cstheme="minorHAnsi"/>
          <w:sz w:val="24"/>
          <w:szCs w:val="24"/>
        </w:rPr>
        <w:t xml:space="preserve"> “</w:t>
      </w:r>
      <w:bookmarkStart w:id="1" w:name="_GoBack"/>
      <w:proofErr w:type="spellStart"/>
      <w:r w:rsidRPr="0043316A">
        <w:rPr>
          <w:rFonts w:cstheme="minorHAnsi"/>
          <w:i/>
          <w:sz w:val="24"/>
          <w:szCs w:val="24"/>
        </w:rPr>
        <w:t>Summary</w:t>
      </w:r>
      <w:proofErr w:type="spellEnd"/>
      <w:r w:rsidRPr="0043316A">
        <w:rPr>
          <w:rFonts w:cstheme="minorHAnsi"/>
          <w:i/>
          <w:sz w:val="24"/>
          <w:szCs w:val="24"/>
        </w:rPr>
        <w:t xml:space="preserve"> RMP</w:t>
      </w:r>
      <w:bookmarkEnd w:id="1"/>
      <w:r w:rsidRPr="00B766C6">
        <w:rPr>
          <w:rFonts w:cstheme="minorHAnsi"/>
          <w:sz w:val="24"/>
          <w:szCs w:val="24"/>
        </w:rPr>
        <w:t>” allegato.</w:t>
      </w:r>
    </w:p>
    <w:p w14:paraId="1DEC0FF3" w14:textId="5C0C001A" w:rsidR="009254CC" w:rsidRPr="00F626B0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00FC2DC" w14:textId="77777777" w:rsidR="004E5A39" w:rsidRPr="00F626B0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27B36863" w14:textId="77777777" w:rsidR="004E5A39" w:rsidRPr="00F626B0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F626B0">
        <w:rPr>
          <w:rFonts w:cstheme="minorHAnsi"/>
          <w:b/>
          <w:sz w:val="24"/>
          <w:szCs w:val="24"/>
        </w:rPr>
        <w:t>Conclusioni</w:t>
      </w:r>
    </w:p>
    <w:p w14:paraId="28B85830" w14:textId="324EC2D8" w:rsidR="004E5A39" w:rsidRPr="00F626B0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F626B0">
        <w:rPr>
          <w:rFonts w:cstheme="minorHAnsi"/>
          <w:sz w:val="24"/>
          <w:szCs w:val="24"/>
        </w:rPr>
        <w:t xml:space="preserve">Per la richiesta di AIC di </w:t>
      </w:r>
      <w:proofErr w:type="spellStart"/>
      <w:r w:rsidR="00E022BA" w:rsidRPr="00F626B0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F626B0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F626B0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BE7CDB" w:rsidRPr="00F626B0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F626B0">
        <w:rPr>
          <w:rFonts w:cstheme="minorHAnsi"/>
          <w:sz w:val="24"/>
          <w:szCs w:val="24"/>
        </w:rPr>
        <w:t>sono state presentate sufficienti informazioni cliniche.</w:t>
      </w:r>
    </w:p>
    <w:p w14:paraId="431BE215" w14:textId="1376376B" w:rsidR="004E5A39" w:rsidRPr="00F626B0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F626B0">
        <w:rPr>
          <w:rFonts w:cstheme="minorHAnsi"/>
          <w:sz w:val="24"/>
          <w:szCs w:val="24"/>
        </w:rPr>
        <w:t xml:space="preserve">Il rapporto beneficio/rischio di </w:t>
      </w:r>
      <w:proofErr w:type="spellStart"/>
      <w:r w:rsidR="00E022BA" w:rsidRPr="00F626B0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F626B0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F626B0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BE7CDB" w:rsidRPr="00F626B0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F626B0">
        <w:rPr>
          <w:rFonts w:cstheme="minorHAnsi"/>
          <w:sz w:val="24"/>
          <w:szCs w:val="24"/>
        </w:rPr>
        <w:t>è considerato favorevole dal punto di vista clinico.</w:t>
      </w:r>
    </w:p>
    <w:p w14:paraId="1FBD25C2" w14:textId="77777777" w:rsidR="00F35F38" w:rsidRPr="00F626B0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65E4D0F" w14:textId="77777777" w:rsidR="004E5A39" w:rsidRPr="00F626B0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2E10B7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E10B7">
        <w:rPr>
          <w:rFonts w:cstheme="minorHAnsi"/>
          <w:b/>
          <w:sz w:val="24"/>
          <w:szCs w:val="24"/>
        </w:rPr>
        <w:t>CONSULTAZIONE SUL FOGLIO ILLUSTRATIVO</w:t>
      </w:r>
    </w:p>
    <w:p w14:paraId="6B8FDC32" w14:textId="157452EE" w:rsidR="004E5A39" w:rsidRPr="002E10B7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E10B7">
        <w:rPr>
          <w:rFonts w:cstheme="minorHAnsi"/>
          <w:sz w:val="24"/>
          <w:szCs w:val="24"/>
        </w:rPr>
        <w:t>Il foglio illustrativo è stato sottoposto al test di leggibilità in accordo ai requisiti dell’art. 59(3) e 61(1) de</w:t>
      </w:r>
      <w:r w:rsidR="00F106A0" w:rsidRPr="002E10B7">
        <w:rPr>
          <w:rFonts w:cstheme="minorHAnsi"/>
          <w:sz w:val="24"/>
          <w:szCs w:val="24"/>
        </w:rPr>
        <w:t xml:space="preserve">lla direttiva 2001/83/EU s.m.i. </w:t>
      </w:r>
      <w:r w:rsidRPr="002E10B7">
        <w:rPr>
          <w:rFonts w:cstheme="minorHAnsi"/>
          <w:sz w:val="24"/>
          <w:szCs w:val="24"/>
        </w:rPr>
        <w:t>i risultati del test hanno dimostrato che il foglio illustrativo corrisponde ai criteri imposti dalla linea guida sulla leggibilità di etichetta e foglio illustrativo dei medicinali per uso umano.</w:t>
      </w:r>
    </w:p>
    <w:p w14:paraId="473385D4" w14:textId="543980DB" w:rsidR="004631F3" w:rsidRPr="007856EC" w:rsidRDefault="004631F3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EA1FE2B" w14:textId="77777777" w:rsidR="004E5A39" w:rsidRPr="007856E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7856EC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856EC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72FC8FF0" w14:textId="50E4373C" w:rsidR="004E5A39" w:rsidRPr="007856E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856EC">
        <w:rPr>
          <w:rFonts w:cstheme="minorHAnsi"/>
          <w:sz w:val="24"/>
          <w:szCs w:val="24"/>
        </w:rPr>
        <w:t xml:space="preserve">La qualità di </w:t>
      </w:r>
      <w:proofErr w:type="spellStart"/>
      <w:r w:rsidR="00E022BA" w:rsidRPr="007856EC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7856EC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7856EC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BE7CDB" w:rsidRPr="007856EC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7856EC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5E2AD99B" w14:textId="77777777" w:rsidR="00071E63" w:rsidRPr="007856EC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EAED0C" w14:textId="7112245D" w:rsidR="00BE7CDB" w:rsidRPr="007856EC" w:rsidRDefault="00BE7CDB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856EC">
        <w:rPr>
          <w:rFonts w:cstheme="minorHAnsi"/>
          <w:sz w:val="24"/>
          <w:szCs w:val="24"/>
        </w:rPr>
        <w:t xml:space="preserve">Lo studio di bioequivalenza e le sue conclusioni confermano che </w:t>
      </w:r>
      <w:proofErr w:type="spellStart"/>
      <w:r w:rsidR="00E022BA" w:rsidRPr="007856EC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7856EC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7856EC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071E63" w:rsidRPr="007856EC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7856EC">
        <w:rPr>
          <w:rFonts w:cstheme="minorHAnsi"/>
          <w:sz w:val="24"/>
          <w:szCs w:val="24"/>
        </w:rPr>
        <w:t xml:space="preserve">e il medicinale di riferimento </w:t>
      </w:r>
      <w:proofErr w:type="spellStart"/>
      <w:r w:rsidR="007856EC" w:rsidRPr="007856EC">
        <w:rPr>
          <w:rFonts w:cstheme="minorHAnsi"/>
          <w:sz w:val="24"/>
          <w:szCs w:val="24"/>
        </w:rPr>
        <w:t>Imovane</w:t>
      </w:r>
      <w:proofErr w:type="spellEnd"/>
      <w:r w:rsidR="00071E63" w:rsidRPr="007856EC">
        <w:rPr>
          <w:rFonts w:cstheme="minorHAnsi"/>
          <w:sz w:val="24"/>
          <w:szCs w:val="24"/>
        </w:rPr>
        <w:t xml:space="preserve"> </w:t>
      </w:r>
      <w:r w:rsidR="00F90F1F" w:rsidRPr="007856EC">
        <w:rPr>
          <w:rFonts w:cstheme="minorHAnsi"/>
          <w:sz w:val="24"/>
          <w:szCs w:val="24"/>
        </w:rPr>
        <w:t xml:space="preserve">sono </w:t>
      </w:r>
      <w:proofErr w:type="spellStart"/>
      <w:r w:rsidR="00F90F1F" w:rsidRPr="007856EC">
        <w:rPr>
          <w:rFonts w:cstheme="minorHAnsi"/>
          <w:sz w:val="24"/>
          <w:szCs w:val="24"/>
        </w:rPr>
        <w:t>bioequivalenti</w:t>
      </w:r>
      <w:proofErr w:type="spellEnd"/>
      <w:r w:rsidRPr="007856EC">
        <w:rPr>
          <w:rFonts w:cstheme="minorHAnsi"/>
          <w:sz w:val="24"/>
          <w:szCs w:val="24"/>
        </w:rPr>
        <w:t>.</w:t>
      </w:r>
    </w:p>
    <w:p w14:paraId="523E0D0F" w14:textId="77777777" w:rsidR="00F44B8C" w:rsidRPr="007856EC" w:rsidRDefault="00F44B8C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30F41C7D" w:rsidR="004E5A39" w:rsidRPr="006A1A9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A1A98">
        <w:rPr>
          <w:rFonts w:cstheme="minorHAnsi"/>
          <w:sz w:val="24"/>
          <w:szCs w:val="24"/>
        </w:rPr>
        <w:t xml:space="preserve">Il rapporto beneficio/rischio </w:t>
      </w:r>
      <w:r w:rsidR="00071E63" w:rsidRPr="006A1A98">
        <w:rPr>
          <w:rFonts w:cstheme="minorHAnsi"/>
          <w:sz w:val="24"/>
          <w:szCs w:val="24"/>
        </w:rPr>
        <w:t xml:space="preserve">di </w:t>
      </w:r>
      <w:proofErr w:type="spellStart"/>
      <w:r w:rsidR="00E022BA" w:rsidRPr="006A1A98">
        <w:rPr>
          <w:rFonts w:eastAsia="Calibri" w:cstheme="minorHAnsi"/>
          <w:sz w:val="24"/>
          <w:szCs w:val="24"/>
          <w:lang w:eastAsia="it-IT"/>
        </w:rPr>
        <w:t>Zopiclone</w:t>
      </w:r>
      <w:proofErr w:type="spellEnd"/>
      <w:r w:rsidR="00E022BA" w:rsidRPr="006A1A98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E022BA" w:rsidRPr="006A1A98">
        <w:rPr>
          <w:rFonts w:eastAsia="Calibri" w:cstheme="minorHAnsi"/>
          <w:sz w:val="24"/>
          <w:szCs w:val="24"/>
          <w:lang w:eastAsia="it-IT"/>
        </w:rPr>
        <w:t>Olpha</w:t>
      </w:r>
      <w:proofErr w:type="spellEnd"/>
      <w:r w:rsidR="00071E63" w:rsidRPr="006A1A98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6A1A98">
        <w:rPr>
          <w:rFonts w:cstheme="minorHAnsi"/>
          <w:sz w:val="24"/>
          <w:szCs w:val="24"/>
        </w:rPr>
        <w:t xml:space="preserve">è considerato </w:t>
      </w:r>
      <w:r w:rsidR="00071E63" w:rsidRPr="006A1A98">
        <w:rPr>
          <w:rFonts w:cstheme="minorHAnsi"/>
          <w:sz w:val="24"/>
          <w:szCs w:val="24"/>
        </w:rPr>
        <w:t>favorevole per l’autorizzazione all’immis</w:t>
      </w:r>
      <w:r w:rsidR="00997F05" w:rsidRPr="006A1A98">
        <w:rPr>
          <w:rFonts w:cstheme="minorHAnsi"/>
          <w:sz w:val="24"/>
          <w:szCs w:val="24"/>
        </w:rPr>
        <w:t>s</w:t>
      </w:r>
      <w:r w:rsidR="00071E63" w:rsidRPr="006A1A98">
        <w:rPr>
          <w:rFonts w:cstheme="minorHAnsi"/>
          <w:sz w:val="24"/>
          <w:szCs w:val="24"/>
        </w:rPr>
        <w:t>ione in commercio</w:t>
      </w:r>
      <w:r w:rsidRPr="006A1A98">
        <w:rPr>
          <w:rFonts w:cstheme="minorHAnsi"/>
          <w:sz w:val="24"/>
          <w:szCs w:val="24"/>
        </w:rPr>
        <w:t>.</w:t>
      </w:r>
    </w:p>
    <w:p w14:paraId="5ABBC3E3" w14:textId="77777777" w:rsidR="00071E63" w:rsidRPr="006A1A9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A1A98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6A1A98">
        <w:rPr>
          <w:rFonts w:cstheme="minorHAnsi"/>
          <w:sz w:val="24"/>
          <w:szCs w:val="24"/>
        </w:rPr>
        <w:t xml:space="preserve">vigenti </w:t>
      </w:r>
      <w:r w:rsidRPr="006A1A98">
        <w:rPr>
          <w:rFonts w:cstheme="minorHAnsi"/>
          <w:sz w:val="24"/>
          <w:szCs w:val="24"/>
        </w:rPr>
        <w:t>linee guida</w:t>
      </w:r>
      <w:r w:rsidR="00071E63" w:rsidRPr="006A1A98">
        <w:rPr>
          <w:rFonts w:cstheme="minorHAnsi"/>
          <w:sz w:val="24"/>
          <w:szCs w:val="24"/>
        </w:rPr>
        <w:t xml:space="preserve"> e raccomandazioni italiane ed europee</w:t>
      </w:r>
      <w:r w:rsidRPr="006A1A98">
        <w:rPr>
          <w:rFonts w:cstheme="minorHAnsi"/>
          <w:sz w:val="24"/>
          <w:szCs w:val="24"/>
        </w:rPr>
        <w:t xml:space="preserve">. </w:t>
      </w:r>
    </w:p>
    <w:p w14:paraId="7056AFE8" w14:textId="69857982" w:rsidR="00CE62A1" w:rsidRPr="006A1A98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6A1A98">
        <w:rPr>
          <w:rFonts w:cstheme="minorHAnsi"/>
          <w:sz w:val="24"/>
          <w:szCs w:val="24"/>
        </w:rPr>
        <w:t xml:space="preserve">Questi documenti possono essere consultati sul sito istituzionale di AIFA </w:t>
      </w:r>
      <w:hyperlink r:id="rId12" w:anchor="/it/" w:history="1">
        <w:r w:rsidR="00F106A0" w:rsidRPr="006A1A98">
          <w:rPr>
            <w:rStyle w:val="Collegamentoipertestuale"/>
            <w:rFonts w:cstheme="minorHAnsi"/>
            <w:color w:val="auto"/>
            <w:sz w:val="24"/>
            <w:szCs w:val="24"/>
          </w:rPr>
          <w:t>https://medicinali.aifa.gov.it/it/#/it/</w:t>
        </w:r>
      </w:hyperlink>
      <w:r w:rsidR="00F106A0" w:rsidRPr="006A1A98">
        <w:rPr>
          <w:rFonts w:cstheme="minorHAnsi"/>
          <w:sz w:val="24"/>
          <w:szCs w:val="24"/>
        </w:rPr>
        <w:t xml:space="preserve"> </w:t>
      </w:r>
    </w:p>
    <w:p w14:paraId="48A74C52" w14:textId="2A0CD17C" w:rsidR="00046E1D" w:rsidRPr="006A1A98" w:rsidRDefault="00046E1D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046E1D" w:rsidRPr="006A1A98" w:rsidSect="00EF671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FA9C3" w14:textId="77777777" w:rsidR="00D2754B" w:rsidRDefault="00D2754B" w:rsidP="00C07183">
      <w:pPr>
        <w:spacing w:after="0" w:line="240" w:lineRule="auto"/>
      </w:pPr>
      <w:r>
        <w:separator/>
      </w:r>
    </w:p>
  </w:endnote>
  <w:endnote w:type="continuationSeparator" w:id="0">
    <w:p w14:paraId="632855FB" w14:textId="77777777" w:rsidR="00D2754B" w:rsidRDefault="00D2754B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16E9A" w14:textId="77777777" w:rsidR="00046E1D" w:rsidRDefault="00046E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866231"/>
      <w:docPartObj>
        <w:docPartGallery w:val="Page Numbers (Bottom of Page)"/>
        <w:docPartUnique/>
      </w:docPartObj>
    </w:sdtPr>
    <w:sdtEndPr/>
    <w:sdtContent>
      <w:p w14:paraId="6BFEAD53" w14:textId="1B6FF59A" w:rsidR="00132B98" w:rsidRDefault="00132B9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16A">
          <w:rPr>
            <w:noProof/>
          </w:rPr>
          <w:t>9</w:t>
        </w:r>
        <w:r>
          <w:fldChar w:fldCharType="end"/>
        </w:r>
      </w:p>
    </w:sdtContent>
  </w:sdt>
  <w:p w14:paraId="6F5CE743" w14:textId="464F51B7" w:rsidR="00132B98" w:rsidRDefault="00132B9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834E7" w14:textId="77777777" w:rsidR="00046E1D" w:rsidRDefault="00046E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BE59C" w14:textId="77777777" w:rsidR="00D2754B" w:rsidRDefault="00D2754B" w:rsidP="00C07183">
      <w:pPr>
        <w:spacing w:after="0" w:line="240" w:lineRule="auto"/>
      </w:pPr>
      <w:r>
        <w:separator/>
      </w:r>
    </w:p>
  </w:footnote>
  <w:footnote w:type="continuationSeparator" w:id="0">
    <w:p w14:paraId="67E6A610" w14:textId="77777777" w:rsidR="00D2754B" w:rsidRDefault="00D2754B" w:rsidP="00C07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63866" w14:textId="77777777" w:rsidR="00046E1D" w:rsidRDefault="00046E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EF9E1" w14:textId="438AEAB3" w:rsidR="00132B98" w:rsidRDefault="00132B98" w:rsidP="00132B98">
    <w:pPr>
      <w:pStyle w:val="Intestazione"/>
    </w:pPr>
  </w:p>
  <w:p w14:paraId="214F02AB" w14:textId="77777777" w:rsidR="00132B98" w:rsidRDefault="00132B9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81197" w14:textId="77777777" w:rsidR="00046E1D" w:rsidRDefault="00046E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97D56"/>
    <w:multiLevelType w:val="hybridMultilevel"/>
    <w:tmpl w:val="4A8EA69A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>
      <w:start w:val="1"/>
      <w:numFmt w:val="lowerRoman"/>
      <w:lvlText w:val="%3."/>
      <w:lvlJc w:val="right"/>
      <w:pPr>
        <w:ind w:left="3011" w:hanging="180"/>
      </w:pPr>
    </w:lvl>
    <w:lvl w:ilvl="3" w:tplc="0410000F">
      <w:start w:val="1"/>
      <w:numFmt w:val="decimal"/>
      <w:lvlText w:val="%4."/>
      <w:lvlJc w:val="left"/>
      <w:pPr>
        <w:ind w:left="3731" w:hanging="360"/>
      </w:pPr>
    </w:lvl>
    <w:lvl w:ilvl="4" w:tplc="04100019">
      <w:start w:val="1"/>
      <w:numFmt w:val="lowerLetter"/>
      <w:lvlText w:val="%5."/>
      <w:lvlJc w:val="left"/>
      <w:pPr>
        <w:ind w:left="4451" w:hanging="360"/>
      </w:pPr>
    </w:lvl>
    <w:lvl w:ilvl="5" w:tplc="0410001B">
      <w:start w:val="1"/>
      <w:numFmt w:val="lowerRoman"/>
      <w:lvlText w:val="%6."/>
      <w:lvlJc w:val="right"/>
      <w:pPr>
        <w:ind w:left="5171" w:hanging="180"/>
      </w:pPr>
    </w:lvl>
    <w:lvl w:ilvl="6" w:tplc="0410000F">
      <w:start w:val="1"/>
      <w:numFmt w:val="decimal"/>
      <w:lvlText w:val="%7."/>
      <w:lvlJc w:val="left"/>
      <w:pPr>
        <w:ind w:left="5891" w:hanging="360"/>
      </w:pPr>
    </w:lvl>
    <w:lvl w:ilvl="7" w:tplc="04100019">
      <w:start w:val="1"/>
      <w:numFmt w:val="lowerLetter"/>
      <w:lvlText w:val="%8."/>
      <w:lvlJc w:val="left"/>
      <w:pPr>
        <w:ind w:left="6611" w:hanging="360"/>
      </w:pPr>
    </w:lvl>
    <w:lvl w:ilvl="8" w:tplc="0410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146179"/>
    <w:multiLevelType w:val="hybridMultilevel"/>
    <w:tmpl w:val="75E8B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B3AF7"/>
    <w:multiLevelType w:val="hybridMultilevel"/>
    <w:tmpl w:val="41A851CA"/>
    <w:lvl w:ilvl="0" w:tplc="B268C8BA">
      <w:start w:val="1"/>
      <w:numFmt w:val="lowerLetter"/>
      <w:lvlText w:val="%1."/>
      <w:lvlJc w:val="left"/>
      <w:pPr>
        <w:ind w:left="4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3020"/>
    <w:rsid w:val="00014743"/>
    <w:rsid w:val="0002205E"/>
    <w:rsid w:val="00022511"/>
    <w:rsid w:val="00022F32"/>
    <w:rsid w:val="00023CEA"/>
    <w:rsid w:val="00035DB7"/>
    <w:rsid w:val="00046E1D"/>
    <w:rsid w:val="00050F6A"/>
    <w:rsid w:val="00062636"/>
    <w:rsid w:val="00071E63"/>
    <w:rsid w:val="000759F6"/>
    <w:rsid w:val="000760A5"/>
    <w:rsid w:val="000808A3"/>
    <w:rsid w:val="000A0487"/>
    <w:rsid w:val="000A4BA1"/>
    <w:rsid w:val="000B7AC8"/>
    <w:rsid w:val="000C1389"/>
    <w:rsid w:val="000E1F86"/>
    <w:rsid w:val="000E4494"/>
    <w:rsid w:val="000E4A73"/>
    <w:rsid w:val="000F405C"/>
    <w:rsid w:val="000F658F"/>
    <w:rsid w:val="00111E9E"/>
    <w:rsid w:val="00112B76"/>
    <w:rsid w:val="00126BC8"/>
    <w:rsid w:val="00132B98"/>
    <w:rsid w:val="001334B1"/>
    <w:rsid w:val="001460CA"/>
    <w:rsid w:val="0016526F"/>
    <w:rsid w:val="00165D07"/>
    <w:rsid w:val="00172AED"/>
    <w:rsid w:val="00194300"/>
    <w:rsid w:val="00195C98"/>
    <w:rsid w:val="00197AD5"/>
    <w:rsid w:val="001A516D"/>
    <w:rsid w:val="001B2799"/>
    <w:rsid w:val="001B599D"/>
    <w:rsid w:val="001C15DF"/>
    <w:rsid w:val="001C4323"/>
    <w:rsid w:val="001F0D20"/>
    <w:rsid w:val="001F5E2F"/>
    <w:rsid w:val="0021736D"/>
    <w:rsid w:val="00221C4C"/>
    <w:rsid w:val="00245B04"/>
    <w:rsid w:val="0024672F"/>
    <w:rsid w:val="00250DCE"/>
    <w:rsid w:val="00252FE8"/>
    <w:rsid w:val="002554FE"/>
    <w:rsid w:val="00265B61"/>
    <w:rsid w:val="002744F3"/>
    <w:rsid w:val="00277A0E"/>
    <w:rsid w:val="00295EEA"/>
    <w:rsid w:val="00297F10"/>
    <w:rsid w:val="002A05B9"/>
    <w:rsid w:val="002A1800"/>
    <w:rsid w:val="002B4664"/>
    <w:rsid w:val="002B662A"/>
    <w:rsid w:val="002C2324"/>
    <w:rsid w:val="002C2D9F"/>
    <w:rsid w:val="002C2EB2"/>
    <w:rsid w:val="002E10B7"/>
    <w:rsid w:val="002E51B6"/>
    <w:rsid w:val="002F2543"/>
    <w:rsid w:val="002F4000"/>
    <w:rsid w:val="002F4C55"/>
    <w:rsid w:val="00300BEA"/>
    <w:rsid w:val="00305B55"/>
    <w:rsid w:val="003061E0"/>
    <w:rsid w:val="00323648"/>
    <w:rsid w:val="003238CF"/>
    <w:rsid w:val="00330DFA"/>
    <w:rsid w:val="00340DC4"/>
    <w:rsid w:val="003460E9"/>
    <w:rsid w:val="00353838"/>
    <w:rsid w:val="003544C6"/>
    <w:rsid w:val="00367CE0"/>
    <w:rsid w:val="00371114"/>
    <w:rsid w:val="00381F0F"/>
    <w:rsid w:val="00387CA8"/>
    <w:rsid w:val="003949F9"/>
    <w:rsid w:val="003B0421"/>
    <w:rsid w:val="003B68D5"/>
    <w:rsid w:val="003C054E"/>
    <w:rsid w:val="003E1E83"/>
    <w:rsid w:val="0041387F"/>
    <w:rsid w:val="004139CE"/>
    <w:rsid w:val="004214DB"/>
    <w:rsid w:val="0042214D"/>
    <w:rsid w:val="00423A97"/>
    <w:rsid w:val="004241AC"/>
    <w:rsid w:val="0043316A"/>
    <w:rsid w:val="00435039"/>
    <w:rsid w:val="00441071"/>
    <w:rsid w:val="00442A9D"/>
    <w:rsid w:val="00442E3F"/>
    <w:rsid w:val="00445DB2"/>
    <w:rsid w:val="004509BC"/>
    <w:rsid w:val="004532E2"/>
    <w:rsid w:val="00453821"/>
    <w:rsid w:val="00454A14"/>
    <w:rsid w:val="004609F8"/>
    <w:rsid w:val="00461D93"/>
    <w:rsid w:val="004621A2"/>
    <w:rsid w:val="004631F3"/>
    <w:rsid w:val="00477F06"/>
    <w:rsid w:val="00482C32"/>
    <w:rsid w:val="004A6D99"/>
    <w:rsid w:val="004B20A8"/>
    <w:rsid w:val="004B5B15"/>
    <w:rsid w:val="004D3782"/>
    <w:rsid w:val="004E28E5"/>
    <w:rsid w:val="004E5A39"/>
    <w:rsid w:val="004E70F5"/>
    <w:rsid w:val="004F343B"/>
    <w:rsid w:val="00500ACA"/>
    <w:rsid w:val="005049A1"/>
    <w:rsid w:val="00504FC1"/>
    <w:rsid w:val="00524E78"/>
    <w:rsid w:val="005250B6"/>
    <w:rsid w:val="005256F6"/>
    <w:rsid w:val="00561793"/>
    <w:rsid w:val="0056372C"/>
    <w:rsid w:val="005637E9"/>
    <w:rsid w:val="00567615"/>
    <w:rsid w:val="005744D4"/>
    <w:rsid w:val="00577746"/>
    <w:rsid w:val="00577DAC"/>
    <w:rsid w:val="00580BFC"/>
    <w:rsid w:val="005826A6"/>
    <w:rsid w:val="005950D6"/>
    <w:rsid w:val="005A466E"/>
    <w:rsid w:val="005A4BBD"/>
    <w:rsid w:val="005B4C97"/>
    <w:rsid w:val="005C2427"/>
    <w:rsid w:val="005C45B7"/>
    <w:rsid w:val="005D18E5"/>
    <w:rsid w:val="005D5749"/>
    <w:rsid w:val="005E148A"/>
    <w:rsid w:val="005F54B1"/>
    <w:rsid w:val="00601021"/>
    <w:rsid w:val="00601BB8"/>
    <w:rsid w:val="00610BAB"/>
    <w:rsid w:val="00621AE2"/>
    <w:rsid w:val="006222F7"/>
    <w:rsid w:val="006231AC"/>
    <w:rsid w:val="00642D6A"/>
    <w:rsid w:val="0064646C"/>
    <w:rsid w:val="00652AE5"/>
    <w:rsid w:val="00654D9E"/>
    <w:rsid w:val="00663BCD"/>
    <w:rsid w:val="00664931"/>
    <w:rsid w:val="006664AB"/>
    <w:rsid w:val="006727BD"/>
    <w:rsid w:val="006A1A98"/>
    <w:rsid w:val="006A3A37"/>
    <w:rsid w:val="006B311C"/>
    <w:rsid w:val="006B3E12"/>
    <w:rsid w:val="006C0722"/>
    <w:rsid w:val="006C08B4"/>
    <w:rsid w:val="006C5811"/>
    <w:rsid w:val="006D7B8C"/>
    <w:rsid w:val="006F2065"/>
    <w:rsid w:val="006F44C7"/>
    <w:rsid w:val="00712DB3"/>
    <w:rsid w:val="00716DF5"/>
    <w:rsid w:val="007170D7"/>
    <w:rsid w:val="007221B6"/>
    <w:rsid w:val="00745609"/>
    <w:rsid w:val="00747DF3"/>
    <w:rsid w:val="00747E46"/>
    <w:rsid w:val="00766E26"/>
    <w:rsid w:val="007856EC"/>
    <w:rsid w:val="0078608F"/>
    <w:rsid w:val="0078680B"/>
    <w:rsid w:val="00797416"/>
    <w:rsid w:val="007A14F4"/>
    <w:rsid w:val="007A1C0E"/>
    <w:rsid w:val="007B0B6F"/>
    <w:rsid w:val="007C0622"/>
    <w:rsid w:val="007D2539"/>
    <w:rsid w:val="007E4E98"/>
    <w:rsid w:val="00800EA4"/>
    <w:rsid w:val="00811B01"/>
    <w:rsid w:val="00823F4C"/>
    <w:rsid w:val="00824EF9"/>
    <w:rsid w:val="008263C2"/>
    <w:rsid w:val="008375CF"/>
    <w:rsid w:val="008531ED"/>
    <w:rsid w:val="00853EC6"/>
    <w:rsid w:val="008547B3"/>
    <w:rsid w:val="008767B9"/>
    <w:rsid w:val="008819D4"/>
    <w:rsid w:val="00881BCB"/>
    <w:rsid w:val="0088216F"/>
    <w:rsid w:val="00890A5C"/>
    <w:rsid w:val="008A6FEC"/>
    <w:rsid w:val="008B214E"/>
    <w:rsid w:val="008B46E3"/>
    <w:rsid w:val="008B60D7"/>
    <w:rsid w:val="008C3877"/>
    <w:rsid w:val="008C3D30"/>
    <w:rsid w:val="008C75F9"/>
    <w:rsid w:val="008D1529"/>
    <w:rsid w:val="008D7307"/>
    <w:rsid w:val="008E1584"/>
    <w:rsid w:val="008E266D"/>
    <w:rsid w:val="008E3D9E"/>
    <w:rsid w:val="008F117D"/>
    <w:rsid w:val="008F69A7"/>
    <w:rsid w:val="009232AA"/>
    <w:rsid w:val="009254CC"/>
    <w:rsid w:val="00943785"/>
    <w:rsid w:val="009565BA"/>
    <w:rsid w:val="009568D6"/>
    <w:rsid w:val="00957832"/>
    <w:rsid w:val="00983038"/>
    <w:rsid w:val="0098470E"/>
    <w:rsid w:val="0099120C"/>
    <w:rsid w:val="00997646"/>
    <w:rsid w:val="00997F05"/>
    <w:rsid w:val="009A23DE"/>
    <w:rsid w:val="009A260F"/>
    <w:rsid w:val="009B03DB"/>
    <w:rsid w:val="009B18DE"/>
    <w:rsid w:val="009B1E44"/>
    <w:rsid w:val="009C3E8B"/>
    <w:rsid w:val="009C7BAD"/>
    <w:rsid w:val="009D3446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247C5"/>
    <w:rsid w:val="00A31CC1"/>
    <w:rsid w:val="00A40FF3"/>
    <w:rsid w:val="00A47604"/>
    <w:rsid w:val="00A62D55"/>
    <w:rsid w:val="00A83AB4"/>
    <w:rsid w:val="00A84362"/>
    <w:rsid w:val="00A86F5A"/>
    <w:rsid w:val="00A908B9"/>
    <w:rsid w:val="00A966D1"/>
    <w:rsid w:val="00AA516E"/>
    <w:rsid w:val="00AC0DDE"/>
    <w:rsid w:val="00AC31D4"/>
    <w:rsid w:val="00AC3E39"/>
    <w:rsid w:val="00AC586B"/>
    <w:rsid w:val="00AD051C"/>
    <w:rsid w:val="00AD4BE6"/>
    <w:rsid w:val="00AE028F"/>
    <w:rsid w:val="00AF52E2"/>
    <w:rsid w:val="00B023E9"/>
    <w:rsid w:val="00B03E01"/>
    <w:rsid w:val="00B10F17"/>
    <w:rsid w:val="00B114F7"/>
    <w:rsid w:val="00B1186F"/>
    <w:rsid w:val="00B15135"/>
    <w:rsid w:val="00B30431"/>
    <w:rsid w:val="00B51571"/>
    <w:rsid w:val="00B57E1F"/>
    <w:rsid w:val="00B766C6"/>
    <w:rsid w:val="00B862CA"/>
    <w:rsid w:val="00BA0ACD"/>
    <w:rsid w:val="00BB2AF8"/>
    <w:rsid w:val="00BB628A"/>
    <w:rsid w:val="00BB7B54"/>
    <w:rsid w:val="00BC561B"/>
    <w:rsid w:val="00BC74C2"/>
    <w:rsid w:val="00BD39EB"/>
    <w:rsid w:val="00BE7CDB"/>
    <w:rsid w:val="00BF55B9"/>
    <w:rsid w:val="00BF7A42"/>
    <w:rsid w:val="00C058E1"/>
    <w:rsid w:val="00C07183"/>
    <w:rsid w:val="00C10BD4"/>
    <w:rsid w:val="00C1351F"/>
    <w:rsid w:val="00C15C8C"/>
    <w:rsid w:val="00C17BE2"/>
    <w:rsid w:val="00C2462C"/>
    <w:rsid w:val="00C2565A"/>
    <w:rsid w:val="00C344A5"/>
    <w:rsid w:val="00C35B02"/>
    <w:rsid w:val="00C42AAC"/>
    <w:rsid w:val="00C50582"/>
    <w:rsid w:val="00C51FF1"/>
    <w:rsid w:val="00C56FA9"/>
    <w:rsid w:val="00C64A75"/>
    <w:rsid w:val="00C66597"/>
    <w:rsid w:val="00C7332C"/>
    <w:rsid w:val="00C74500"/>
    <w:rsid w:val="00CC1489"/>
    <w:rsid w:val="00CC52A3"/>
    <w:rsid w:val="00CC7AFF"/>
    <w:rsid w:val="00CD4358"/>
    <w:rsid w:val="00CE62A1"/>
    <w:rsid w:val="00CF08A6"/>
    <w:rsid w:val="00CF7841"/>
    <w:rsid w:val="00D037ED"/>
    <w:rsid w:val="00D20170"/>
    <w:rsid w:val="00D212AA"/>
    <w:rsid w:val="00D22C34"/>
    <w:rsid w:val="00D2754B"/>
    <w:rsid w:val="00D36F9A"/>
    <w:rsid w:val="00D433AA"/>
    <w:rsid w:val="00D60600"/>
    <w:rsid w:val="00D6711E"/>
    <w:rsid w:val="00DA5F9B"/>
    <w:rsid w:val="00DA68F0"/>
    <w:rsid w:val="00DB021E"/>
    <w:rsid w:val="00DB359A"/>
    <w:rsid w:val="00DC187E"/>
    <w:rsid w:val="00DF0D3D"/>
    <w:rsid w:val="00DF5BFE"/>
    <w:rsid w:val="00E022BA"/>
    <w:rsid w:val="00E10D6C"/>
    <w:rsid w:val="00E207B1"/>
    <w:rsid w:val="00E20E87"/>
    <w:rsid w:val="00E25D34"/>
    <w:rsid w:val="00E26828"/>
    <w:rsid w:val="00E42578"/>
    <w:rsid w:val="00E43089"/>
    <w:rsid w:val="00E5360B"/>
    <w:rsid w:val="00E83F8D"/>
    <w:rsid w:val="00E84CFA"/>
    <w:rsid w:val="00E8749D"/>
    <w:rsid w:val="00EA2159"/>
    <w:rsid w:val="00EB4398"/>
    <w:rsid w:val="00EC33C5"/>
    <w:rsid w:val="00EC3589"/>
    <w:rsid w:val="00ED19E3"/>
    <w:rsid w:val="00ED72E4"/>
    <w:rsid w:val="00EF062E"/>
    <w:rsid w:val="00EF6711"/>
    <w:rsid w:val="00F106A0"/>
    <w:rsid w:val="00F1246A"/>
    <w:rsid w:val="00F27C7F"/>
    <w:rsid w:val="00F35F38"/>
    <w:rsid w:val="00F44B8C"/>
    <w:rsid w:val="00F61CF9"/>
    <w:rsid w:val="00F626B0"/>
    <w:rsid w:val="00F66767"/>
    <w:rsid w:val="00F67DFC"/>
    <w:rsid w:val="00F70FE8"/>
    <w:rsid w:val="00F74A23"/>
    <w:rsid w:val="00F76F77"/>
    <w:rsid w:val="00F85989"/>
    <w:rsid w:val="00F905D6"/>
    <w:rsid w:val="00F90F1F"/>
    <w:rsid w:val="00F96473"/>
    <w:rsid w:val="00F964BE"/>
    <w:rsid w:val="00FA2702"/>
    <w:rsid w:val="00FA271D"/>
    <w:rsid w:val="00FB3BF5"/>
    <w:rsid w:val="00FB4181"/>
    <w:rsid w:val="00FB5103"/>
    <w:rsid w:val="00FC0183"/>
    <w:rsid w:val="00FD415D"/>
    <w:rsid w:val="00FF2DE3"/>
    <w:rsid w:val="00FF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paragraph" w:customStyle="1" w:styleId="Sarkain2">
    <w:name w:val="Sarkain2"/>
    <w:basedOn w:val="Normale"/>
    <w:uiPriority w:val="99"/>
    <w:rsid w:val="002E10B7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character" w:customStyle="1" w:styleId="RientronormaleCarattere">
    <w:name w:val="Rientro normale Carattere"/>
    <w:link w:val="Rientronormale"/>
    <w:locked/>
    <w:rsid w:val="002E10B7"/>
    <w:rPr>
      <w:sz w:val="24"/>
      <w:lang w:val="fi-FI" w:eastAsia="fi-FI"/>
    </w:rPr>
  </w:style>
  <w:style w:type="paragraph" w:styleId="Rientronormale">
    <w:name w:val="Normal Indent"/>
    <w:basedOn w:val="Normale"/>
    <w:link w:val="RientronormaleCarattere"/>
    <w:unhideWhenUsed/>
    <w:rsid w:val="002E10B7"/>
    <w:pPr>
      <w:spacing w:after="0" w:line="240" w:lineRule="auto"/>
      <w:ind w:left="1304"/>
    </w:pPr>
    <w:rPr>
      <w:sz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icinali.aifa.gov.it/it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/i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edicinali.aifa.gov.it/it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E12B9-7F77-47FB-BDD7-EB006F6E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2620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Attenni Barbara</cp:lastModifiedBy>
  <cp:revision>14</cp:revision>
  <dcterms:created xsi:type="dcterms:W3CDTF">2025-12-03T14:31:00Z</dcterms:created>
  <dcterms:modified xsi:type="dcterms:W3CDTF">2025-12-05T16:18:00Z</dcterms:modified>
</cp:coreProperties>
</file>